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公文小标宋" w:hAnsi="方正公文小标宋" w:eastAsia="方正公文小标宋"/>
          <w:sz w:val="44"/>
          <w:szCs w:val="44"/>
        </w:rPr>
      </w:pPr>
    </w:p>
    <w:p>
      <w:pPr>
        <w:spacing w:line="560" w:lineRule="exact"/>
        <w:rPr>
          <w:rFonts w:ascii="方正公文小标宋" w:hAnsi="方正公文小标宋" w:eastAsia="方正公文小标宋"/>
          <w:sz w:val="44"/>
          <w:szCs w:val="44"/>
        </w:rPr>
      </w:pPr>
    </w:p>
    <w:p>
      <w:pPr>
        <w:spacing w:line="560" w:lineRule="exact"/>
        <w:rPr>
          <w:rFonts w:ascii="方正公文小标宋" w:hAnsi="方正公文小标宋" w:eastAsia="方正公文小标宋"/>
          <w:sz w:val="44"/>
          <w:szCs w:val="44"/>
        </w:rPr>
      </w:pPr>
    </w:p>
    <w:p>
      <w:pPr>
        <w:spacing w:line="560" w:lineRule="exact"/>
        <w:jc w:val="center"/>
        <w:rPr>
          <w:rFonts w:hint="eastAsia" w:ascii="方正公文小标宋" w:hAnsi="方正公文小标宋" w:eastAsia="方正公文小标宋"/>
          <w:sz w:val="44"/>
          <w:szCs w:val="44"/>
          <w:lang w:val="en-US" w:eastAsia="zh-CN"/>
        </w:rPr>
      </w:pPr>
      <w:r>
        <w:rPr>
          <w:rFonts w:hint="eastAsia" w:ascii="方正公文小标宋" w:hAnsi="方正公文小标宋" w:eastAsia="方正公文小标宋"/>
          <w:sz w:val="44"/>
          <w:szCs w:val="44"/>
          <w:lang w:val="en-US" w:eastAsia="zh-CN"/>
        </w:rPr>
        <w:t>国家中医药管理局监测统计中心</w:t>
      </w:r>
    </w:p>
    <w:p>
      <w:pPr>
        <w:spacing w:line="560" w:lineRule="exact"/>
        <w:jc w:val="center"/>
        <w:rPr>
          <w:rFonts w:ascii="方正公文小标宋" w:hAnsi="方正公文小标宋" w:eastAsia="方正公文小标宋"/>
          <w:sz w:val="44"/>
          <w:szCs w:val="44"/>
        </w:rPr>
      </w:pPr>
      <w:r>
        <w:rPr>
          <w:rFonts w:hint="eastAsia" w:ascii="方正公文小标宋" w:hAnsi="方正公文小标宋" w:eastAsia="方正公文小标宋"/>
          <w:sz w:val="44"/>
          <w:szCs w:val="44"/>
        </w:rPr>
        <w:t>202</w:t>
      </w:r>
      <w:r>
        <w:rPr>
          <w:rFonts w:hint="eastAsia" w:ascii="方正公文小标宋" w:hAnsi="方正公文小标宋" w:eastAsia="方正公文小标宋"/>
          <w:sz w:val="44"/>
          <w:szCs w:val="44"/>
          <w:lang w:val="en-US" w:eastAsia="zh-CN"/>
        </w:rPr>
        <w:t>4</w:t>
      </w:r>
      <w:r>
        <w:rPr>
          <w:rFonts w:hint="eastAsia" w:ascii="方正公文小标宋" w:hAnsi="方正公文小标宋" w:eastAsia="方正公文小标宋"/>
          <w:sz w:val="44"/>
          <w:szCs w:val="44"/>
        </w:rPr>
        <w:t>年</w:t>
      </w:r>
      <w:r>
        <w:rPr>
          <w:rFonts w:hint="eastAsia" w:ascii="方正公文小标宋" w:hAnsi="方正公文小标宋" w:eastAsia="方正公文小标宋"/>
          <w:sz w:val="44"/>
          <w:szCs w:val="44"/>
          <w:lang w:val="en-US" w:eastAsia="zh-CN"/>
        </w:rPr>
        <w:t>部门</w:t>
      </w:r>
      <w:r>
        <w:rPr>
          <w:rFonts w:hint="eastAsia" w:ascii="方正公文小标宋" w:hAnsi="方正公文小标宋" w:eastAsia="方正公文小标宋"/>
          <w:sz w:val="44"/>
          <w:szCs w:val="44"/>
        </w:rPr>
        <w:t>预算公开报告</w:t>
      </w:r>
    </w:p>
    <w:p>
      <w:pPr>
        <w:spacing w:line="560" w:lineRule="exact"/>
        <w:rPr>
          <w:rFonts w:ascii="方正公文小标宋" w:hAnsi="方正公文小标宋" w:eastAsia="方正公文小标宋"/>
          <w:sz w:val="44"/>
          <w:szCs w:val="44"/>
        </w:rPr>
      </w:pPr>
    </w:p>
    <w:p>
      <w:pPr>
        <w:jc w:val="center"/>
        <w:rPr>
          <w:rFonts w:ascii="黑体" w:hAnsi="黑体" w:eastAsia="黑体"/>
          <w:bCs/>
          <w:sz w:val="32"/>
          <w:szCs w:val="32"/>
        </w:rPr>
      </w:pPr>
      <w:r>
        <w:rPr>
          <w:rFonts w:hint="eastAsia" w:ascii="黑体" w:hAnsi="黑体" w:eastAsia="黑体"/>
          <w:bCs/>
          <w:sz w:val="32"/>
          <w:szCs w:val="32"/>
        </w:rPr>
        <w:t>目  录</w:t>
      </w:r>
    </w:p>
    <w:p>
      <w:pPr>
        <w:jc w:val="left"/>
        <w:rPr>
          <w:rFonts w:ascii="黑体" w:hAnsi="黑体" w:eastAsia="黑体"/>
          <w:bCs/>
          <w:sz w:val="32"/>
          <w:szCs w:val="32"/>
        </w:rPr>
      </w:pPr>
      <w:r>
        <w:rPr>
          <w:rFonts w:hint="eastAsia" w:ascii="黑体" w:hAnsi="黑体" w:eastAsia="黑体"/>
          <w:bCs/>
          <w:sz w:val="32"/>
          <w:szCs w:val="32"/>
        </w:rPr>
        <w:t xml:space="preserve">第一部分 </w:t>
      </w:r>
      <w:r>
        <w:rPr>
          <w:rFonts w:hint="eastAsia" w:ascii="黑体" w:hAnsi="黑体" w:eastAsia="黑体"/>
          <w:bCs/>
          <w:sz w:val="32"/>
          <w:szCs w:val="32"/>
          <w:lang w:val="en-US" w:eastAsia="zh-CN"/>
        </w:rPr>
        <w:t>国家中医药管理局监测统计中心</w:t>
      </w:r>
      <w:r>
        <w:rPr>
          <w:rFonts w:hint="eastAsia" w:ascii="黑体" w:hAnsi="黑体" w:eastAsia="黑体"/>
          <w:bCs/>
          <w:sz w:val="32"/>
          <w:szCs w:val="32"/>
        </w:rPr>
        <w:t>概况</w:t>
      </w:r>
    </w:p>
    <w:p>
      <w:pPr>
        <w:spacing w:line="600" w:lineRule="exact"/>
        <w:rPr>
          <w:rFonts w:hint="eastAsia" w:ascii="仿宋_GB2312" w:eastAsia="仿宋_GB2312"/>
          <w:sz w:val="32"/>
          <w:szCs w:val="32"/>
          <w:lang w:val="en-US" w:eastAsia="zh-CN"/>
        </w:rPr>
      </w:pPr>
      <w:r>
        <w:rPr>
          <w:rFonts w:hint="eastAsia" w:ascii="仿宋_GB2312" w:eastAsia="仿宋_GB2312"/>
          <w:sz w:val="32"/>
          <w:szCs w:val="32"/>
        </w:rPr>
        <w:t>一、主要职</w:t>
      </w:r>
      <w:r>
        <w:rPr>
          <w:rFonts w:hint="eastAsia" w:ascii="仿宋_GB2312" w:eastAsia="仿宋_GB2312"/>
          <w:sz w:val="32"/>
          <w:szCs w:val="32"/>
          <w:lang w:val="en-US" w:eastAsia="zh-CN"/>
        </w:rPr>
        <w:t>责</w:t>
      </w:r>
    </w:p>
    <w:p>
      <w:pPr>
        <w:spacing w:line="600" w:lineRule="exact"/>
        <w:rPr>
          <w:rFonts w:ascii="仿宋_GB2312" w:eastAsia="仿宋_GB2312"/>
          <w:sz w:val="32"/>
          <w:szCs w:val="32"/>
        </w:rPr>
      </w:pPr>
      <w:r>
        <w:rPr>
          <w:rFonts w:hint="eastAsia" w:ascii="仿宋_GB2312" w:eastAsia="仿宋_GB2312"/>
          <w:sz w:val="32"/>
          <w:szCs w:val="32"/>
        </w:rPr>
        <w:t>二、单位内设机构</w:t>
      </w:r>
    </w:p>
    <w:p>
      <w:pPr>
        <w:jc w:val="left"/>
        <w:rPr>
          <w:rFonts w:ascii="黑体" w:hAnsi="黑体" w:eastAsia="黑体"/>
          <w:bCs/>
          <w:sz w:val="32"/>
          <w:szCs w:val="32"/>
        </w:rPr>
      </w:pPr>
      <w:r>
        <w:rPr>
          <w:rFonts w:hint="eastAsia" w:ascii="黑体" w:hAnsi="黑体" w:eastAsia="黑体"/>
          <w:bCs/>
          <w:sz w:val="32"/>
          <w:szCs w:val="32"/>
        </w:rPr>
        <w:t>第二部分 202</w:t>
      </w:r>
      <w:r>
        <w:rPr>
          <w:rFonts w:hint="eastAsia" w:ascii="黑体" w:hAnsi="黑体" w:eastAsia="黑体"/>
          <w:bCs/>
          <w:sz w:val="32"/>
          <w:szCs w:val="32"/>
          <w:lang w:val="en-US" w:eastAsia="zh-CN"/>
        </w:rPr>
        <w:t>4</w:t>
      </w:r>
      <w:r>
        <w:rPr>
          <w:rFonts w:hint="eastAsia" w:ascii="黑体" w:hAnsi="黑体" w:eastAsia="黑体"/>
          <w:bCs/>
          <w:sz w:val="32"/>
          <w:szCs w:val="32"/>
        </w:rPr>
        <w:t>年单位预算表</w:t>
      </w:r>
    </w:p>
    <w:p>
      <w:pPr>
        <w:spacing w:line="600" w:lineRule="exact"/>
        <w:rPr>
          <w:rFonts w:ascii="仿宋_GB2312" w:eastAsia="仿宋_GB2312"/>
          <w:sz w:val="32"/>
          <w:szCs w:val="32"/>
        </w:rPr>
      </w:pPr>
      <w:r>
        <w:rPr>
          <w:rFonts w:hint="eastAsia" w:ascii="仿宋_GB2312" w:eastAsia="仿宋_GB2312"/>
          <w:sz w:val="32"/>
          <w:szCs w:val="32"/>
        </w:rPr>
        <w:t>一、</w:t>
      </w:r>
      <w:r>
        <w:rPr>
          <w:rFonts w:hint="eastAsia" w:ascii="仿宋_GB2312" w:eastAsia="仿宋_GB2312"/>
          <w:sz w:val="32"/>
          <w:szCs w:val="32"/>
          <w:lang w:val="en-US" w:eastAsia="zh-CN"/>
        </w:rPr>
        <w:t>部门</w:t>
      </w:r>
      <w:r>
        <w:rPr>
          <w:rFonts w:hint="eastAsia" w:ascii="仿宋_GB2312" w:eastAsia="仿宋_GB2312"/>
          <w:sz w:val="32"/>
          <w:szCs w:val="32"/>
        </w:rPr>
        <w:t>收支总表</w:t>
      </w:r>
    </w:p>
    <w:p>
      <w:pPr>
        <w:spacing w:line="600" w:lineRule="exact"/>
        <w:rPr>
          <w:rFonts w:ascii="仿宋_GB2312" w:eastAsia="仿宋_GB2312"/>
          <w:sz w:val="32"/>
          <w:szCs w:val="32"/>
        </w:rPr>
      </w:pPr>
      <w:r>
        <w:rPr>
          <w:rFonts w:hint="eastAsia" w:ascii="仿宋_GB2312" w:eastAsia="仿宋_GB2312"/>
          <w:sz w:val="32"/>
          <w:szCs w:val="32"/>
        </w:rPr>
        <w:t>二、</w:t>
      </w:r>
      <w:r>
        <w:rPr>
          <w:rFonts w:hint="eastAsia" w:ascii="仿宋_GB2312" w:eastAsia="仿宋_GB2312"/>
          <w:sz w:val="32"/>
          <w:szCs w:val="32"/>
          <w:lang w:val="en-US" w:eastAsia="zh-CN"/>
        </w:rPr>
        <w:t>部门</w:t>
      </w:r>
      <w:r>
        <w:rPr>
          <w:rFonts w:hint="eastAsia" w:ascii="仿宋_GB2312" w:eastAsia="仿宋_GB2312"/>
          <w:sz w:val="32"/>
          <w:szCs w:val="32"/>
        </w:rPr>
        <w:t>收入总表</w:t>
      </w:r>
    </w:p>
    <w:p>
      <w:pPr>
        <w:spacing w:line="600" w:lineRule="exact"/>
        <w:rPr>
          <w:rFonts w:ascii="仿宋_GB2312" w:eastAsia="仿宋_GB2312"/>
          <w:sz w:val="32"/>
          <w:szCs w:val="32"/>
        </w:rPr>
      </w:pPr>
      <w:r>
        <w:rPr>
          <w:rFonts w:hint="eastAsia" w:ascii="仿宋_GB2312" w:eastAsia="仿宋_GB2312"/>
          <w:sz w:val="32"/>
          <w:szCs w:val="32"/>
        </w:rPr>
        <w:t>三、</w:t>
      </w:r>
      <w:r>
        <w:rPr>
          <w:rFonts w:hint="eastAsia" w:ascii="仿宋_GB2312" w:eastAsia="仿宋_GB2312"/>
          <w:sz w:val="32"/>
          <w:szCs w:val="32"/>
          <w:lang w:val="en-US" w:eastAsia="zh-CN"/>
        </w:rPr>
        <w:t>部门</w:t>
      </w:r>
      <w:r>
        <w:rPr>
          <w:rFonts w:hint="eastAsia" w:ascii="仿宋_GB2312" w:eastAsia="仿宋_GB2312"/>
          <w:sz w:val="32"/>
          <w:szCs w:val="32"/>
        </w:rPr>
        <w:t>支出总表</w:t>
      </w:r>
    </w:p>
    <w:p>
      <w:pPr>
        <w:spacing w:line="600" w:lineRule="exact"/>
        <w:rPr>
          <w:rFonts w:ascii="仿宋_GB2312" w:eastAsia="仿宋_GB2312"/>
          <w:sz w:val="32"/>
          <w:szCs w:val="32"/>
        </w:rPr>
      </w:pPr>
      <w:r>
        <w:rPr>
          <w:rFonts w:hint="eastAsia" w:ascii="仿宋_GB2312" w:eastAsia="仿宋_GB2312"/>
          <w:sz w:val="32"/>
          <w:szCs w:val="32"/>
        </w:rPr>
        <w:t>四、财政拨款收支总表</w:t>
      </w:r>
    </w:p>
    <w:p>
      <w:pPr>
        <w:spacing w:line="600" w:lineRule="exact"/>
        <w:rPr>
          <w:rFonts w:ascii="仿宋_GB2312" w:eastAsia="仿宋_GB2312"/>
          <w:sz w:val="32"/>
          <w:szCs w:val="32"/>
        </w:rPr>
      </w:pPr>
      <w:r>
        <w:rPr>
          <w:rFonts w:hint="eastAsia" w:ascii="仿宋_GB2312" w:eastAsia="仿宋_GB2312"/>
          <w:sz w:val="32"/>
          <w:szCs w:val="32"/>
        </w:rPr>
        <w:t>五、一般公共预算支出表</w:t>
      </w:r>
    </w:p>
    <w:p>
      <w:pPr>
        <w:spacing w:line="600" w:lineRule="exact"/>
        <w:rPr>
          <w:rFonts w:ascii="仿宋_GB2312" w:eastAsia="仿宋_GB2312"/>
          <w:sz w:val="32"/>
          <w:szCs w:val="32"/>
        </w:rPr>
      </w:pPr>
      <w:r>
        <w:rPr>
          <w:rFonts w:hint="eastAsia" w:ascii="仿宋_GB2312" w:eastAsia="仿宋_GB2312"/>
          <w:sz w:val="32"/>
          <w:szCs w:val="32"/>
        </w:rPr>
        <w:t>六、政府性基金预算支出表</w:t>
      </w:r>
    </w:p>
    <w:p>
      <w:pPr>
        <w:spacing w:line="600" w:lineRule="exact"/>
        <w:rPr>
          <w:rFonts w:ascii="仿宋_GB2312" w:eastAsia="仿宋_GB2312"/>
          <w:sz w:val="32"/>
          <w:szCs w:val="32"/>
        </w:rPr>
      </w:pPr>
      <w:r>
        <w:rPr>
          <w:rFonts w:hint="eastAsia" w:ascii="仿宋_GB2312" w:eastAsia="仿宋_GB2312"/>
          <w:sz w:val="32"/>
          <w:szCs w:val="32"/>
        </w:rPr>
        <w:t>七、国有资本经营预算支出表</w:t>
      </w:r>
    </w:p>
    <w:p>
      <w:pPr>
        <w:spacing w:line="600" w:lineRule="exact"/>
        <w:rPr>
          <w:rFonts w:ascii="仿宋_GB2312" w:eastAsia="仿宋_GB2312"/>
          <w:sz w:val="32"/>
          <w:szCs w:val="32"/>
        </w:rPr>
      </w:pPr>
      <w:r>
        <w:rPr>
          <w:rFonts w:hint="eastAsia" w:ascii="仿宋_GB2312" w:eastAsia="仿宋_GB2312"/>
          <w:sz w:val="32"/>
          <w:szCs w:val="32"/>
        </w:rPr>
        <w:t>八、一般公共预算基本支出表</w:t>
      </w:r>
    </w:p>
    <w:p>
      <w:pPr>
        <w:spacing w:line="600" w:lineRule="exact"/>
        <w:rPr>
          <w:rFonts w:ascii="仿宋_GB2312" w:eastAsia="仿宋_GB2312"/>
          <w:sz w:val="32"/>
          <w:szCs w:val="32"/>
        </w:rPr>
      </w:pPr>
      <w:r>
        <w:rPr>
          <w:rFonts w:hint="eastAsia" w:ascii="仿宋_GB2312" w:eastAsia="仿宋_GB2312"/>
          <w:sz w:val="32"/>
          <w:szCs w:val="32"/>
        </w:rPr>
        <w:t>九、财政拨款预算“三公”经费支出表</w:t>
      </w:r>
    </w:p>
    <w:p>
      <w:pPr>
        <w:jc w:val="left"/>
        <w:rPr>
          <w:rFonts w:ascii="黑体" w:hAnsi="黑体" w:eastAsia="黑体"/>
          <w:bCs/>
          <w:sz w:val="32"/>
          <w:szCs w:val="32"/>
        </w:rPr>
      </w:pPr>
      <w:r>
        <w:rPr>
          <w:rFonts w:hint="eastAsia" w:ascii="黑体" w:hAnsi="黑体" w:eastAsia="黑体"/>
          <w:bCs/>
          <w:sz w:val="32"/>
          <w:szCs w:val="32"/>
        </w:rPr>
        <w:t>第三部分 202</w:t>
      </w:r>
      <w:r>
        <w:rPr>
          <w:rFonts w:hint="eastAsia" w:ascii="黑体" w:hAnsi="黑体" w:eastAsia="黑体"/>
          <w:bCs/>
          <w:sz w:val="32"/>
          <w:szCs w:val="32"/>
          <w:lang w:val="en-US" w:eastAsia="zh-CN"/>
        </w:rPr>
        <w:t>4</w:t>
      </w:r>
      <w:r>
        <w:rPr>
          <w:rFonts w:hint="eastAsia" w:ascii="黑体" w:hAnsi="黑体" w:eastAsia="黑体"/>
          <w:bCs/>
          <w:sz w:val="32"/>
          <w:szCs w:val="32"/>
        </w:rPr>
        <w:t>年单位预算情况说明</w:t>
      </w:r>
    </w:p>
    <w:p>
      <w:pPr>
        <w:jc w:val="left"/>
        <w:rPr>
          <w:rFonts w:ascii="黑体" w:hAnsi="黑体" w:eastAsia="黑体"/>
          <w:bCs/>
          <w:sz w:val="32"/>
          <w:szCs w:val="32"/>
        </w:rPr>
      </w:pPr>
      <w:r>
        <w:rPr>
          <w:rFonts w:hint="eastAsia" w:ascii="黑体" w:hAnsi="黑体" w:eastAsia="黑体"/>
          <w:bCs/>
          <w:sz w:val="32"/>
          <w:szCs w:val="32"/>
        </w:rPr>
        <w:t>第四部分 名词解释</w:t>
      </w:r>
    </w:p>
    <w:p>
      <w:pPr>
        <w:rPr>
          <w:bCs/>
        </w:rPr>
      </w:pPr>
    </w:p>
    <w:p>
      <w:pPr>
        <w:spacing w:line="600" w:lineRule="exact"/>
        <w:jc w:val="center"/>
        <w:rPr>
          <w:rFonts w:ascii="黑体" w:hAnsi="黑体" w:eastAsia="黑体"/>
          <w:bCs/>
          <w:sz w:val="32"/>
          <w:szCs w:val="32"/>
        </w:rPr>
      </w:pPr>
      <w:r>
        <w:rPr>
          <w:rFonts w:hint="eastAsia" w:ascii="黑体" w:hAnsi="黑体" w:eastAsia="黑体"/>
          <w:bCs/>
          <w:sz w:val="32"/>
          <w:szCs w:val="32"/>
        </w:rPr>
        <w:t>第一部分 国家中医药</w:t>
      </w:r>
      <w:r>
        <w:rPr>
          <w:rFonts w:hint="eastAsia" w:ascii="黑体" w:hAnsi="黑体" w:eastAsia="黑体"/>
          <w:bCs/>
          <w:sz w:val="32"/>
          <w:szCs w:val="32"/>
          <w:lang w:val="en-US" w:eastAsia="zh-CN"/>
        </w:rPr>
        <w:t>管理局监测统计中心</w:t>
      </w:r>
      <w:r>
        <w:rPr>
          <w:rFonts w:hint="eastAsia" w:ascii="黑体" w:hAnsi="黑体" w:eastAsia="黑体"/>
          <w:bCs/>
          <w:sz w:val="32"/>
          <w:szCs w:val="32"/>
        </w:rPr>
        <w:t>概况</w:t>
      </w:r>
    </w:p>
    <w:p>
      <w:pPr>
        <w:spacing w:line="600" w:lineRule="exact"/>
        <w:rPr>
          <w:rFonts w:ascii="仿宋_GB2312" w:eastAsia="仿宋_GB2312"/>
          <w:sz w:val="32"/>
          <w:szCs w:val="32"/>
        </w:rPr>
      </w:pPr>
    </w:p>
    <w:p>
      <w:pPr>
        <w:spacing w:line="600" w:lineRule="exact"/>
        <w:ind w:firstLine="640" w:firstLineChars="200"/>
        <w:rPr>
          <w:rFonts w:ascii="黑体" w:hAnsi="黑体" w:eastAsia="黑体"/>
          <w:sz w:val="32"/>
          <w:szCs w:val="32"/>
        </w:rPr>
      </w:pPr>
      <w:r>
        <w:rPr>
          <w:rFonts w:hint="eastAsia" w:ascii="黑体" w:hAnsi="黑体" w:eastAsia="黑体"/>
          <w:bCs/>
          <w:sz w:val="32"/>
          <w:szCs w:val="32"/>
        </w:rPr>
        <w:t>一、主要职责</w:t>
      </w:r>
    </w:p>
    <w:p>
      <w:pPr>
        <w:spacing w:line="600" w:lineRule="exact"/>
        <w:rPr>
          <w:rFonts w:ascii="仿宋_GB2312" w:eastAsia="仿宋_GB2312"/>
          <w:sz w:val="32"/>
          <w:szCs w:val="32"/>
        </w:rPr>
      </w:pPr>
      <w:r>
        <w:rPr>
          <w:rFonts w:hint="eastAsia" w:ascii="仿宋_GB2312" w:eastAsia="仿宋_GB2312"/>
          <w:sz w:val="32"/>
          <w:szCs w:val="32"/>
        </w:rPr>
        <w:t>　　根据《中央编办关于设立中国中医药科技发展中心等事项的批复》(中编办复字〔2020〕38号)，国家中医药</w:t>
      </w:r>
      <w:r>
        <w:rPr>
          <w:rFonts w:hint="eastAsia" w:ascii="仿宋_GB2312" w:eastAsia="仿宋_GB2312"/>
          <w:sz w:val="32"/>
          <w:szCs w:val="32"/>
          <w:lang w:val="en-US" w:eastAsia="zh-CN"/>
        </w:rPr>
        <w:t>管理局监测统计中心隶属</w:t>
      </w:r>
      <w:r>
        <w:rPr>
          <w:rFonts w:hint="eastAsia" w:ascii="仿宋_GB2312" w:eastAsia="仿宋_GB2312"/>
          <w:sz w:val="32"/>
          <w:szCs w:val="32"/>
        </w:rPr>
        <w:t>国家中医药管理局。根据《中共国家中医药管理局党组关于印发《国家中医药</w:t>
      </w:r>
      <w:r>
        <w:rPr>
          <w:rFonts w:hint="eastAsia" w:ascii="仿宋_GB2312" w:eastAsia="仿宋_GB2312"/>
          <w:sz w:val="32"/>
          <w:szCs w:val="32"/>
          <w:lang w:val="en-US" w:eastAsia="zh-CN"/>
        </w:rPr>
        <w:t>管理局监测统计中心职能</w:t>
      </w:r>
      <w:r>
        <w:rPr>
          <w:rFonts w:hint="eastAsia" w:ascii="仿宋_GB2312" w:eastAsia="仿宋_GB2312"/>
          <w:sz w:val="32"/>
          <w:szCs w:val="32"/>
        </w:rPr>
        <w:t>配置、内设机构和人员编制规定的通知》(国中医药党〔2021〕1</w:t>
      </w:r>
      <w:r>
        <w:rPr>
          <w:rFonts w:hint="eastAsia" w:ascii="仿宋_GB2312" w:eastAsia="仿宋_GB2312"/>
          <w:sz w:val="32"/>
          <w:szCs w:val="32"/>
          <w:lang w:val="en-US" w:eastAsia="zh-CN"/>
        </w:rPr>
        <w:t>9</w:t>
      </w:r>
      <w:r>
        <w:rPr>
          <w:rFonts w:hint="eastAsia" w:ascii="仿宋_GB2312" w:eastAsia="仿宋_GB2312"/>
          <w:sz w:val="32"/>
          <w:szCs w:val="32"/>
        </w:rPr>
        <w:t>号)，我</w:t>
      </w:r>
      <w:r>
        <w:rPr>
          <w:rFonts w:hint="eastAsia" w:ascii="仿宋_GB2312" w:eastAsia="仿宋_GB2312"/>
          <w:sz w:val="32"/>
          <w:szCs w:val="32"/>
          <w:lang w:val="en-US" w:eastAsia="zh-CN"/>
        </w:rPr>
        <w:t>中心</w:t>
      </w:r>
      <w:r>
        <w:rPr>
          <w:rFonts w:hint="eastAsia" w:ascii="仿宋_GB2312" w:eastAsia="仿宋_GB2312"/>
          <w:sz w:val="32"/>
          <w:szCs w:val="32"/>
        </w:rPr>
        <w:t>职责如下：</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㈠围绕中医药传承创新发展的全局性、战略性、长期性以及热点、难点等问题开展研究，为国家中医药管理局提供政策建议和咨询意见，建设高端智库。</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㈡开展对中医药发展规划和重大政策的前期研究及实施监测效果评估。</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㈢承担拟订和</w:t>
      </w:r>
      <w:r>
        <w:rPr>
          <w:rFonts w:ascii="仿宋_GB2312" w:hAnsi="仿宋_GB2312" w:eastAsia="仿宋_GB2312" w:cs="仿宋_GB2312"/>
          <w:bCs/>
          <w:sz w:val="32"/>
          <w:szCs w:val="32"/>
        </w:rPr>
        <w:t>实施</w:t>
      </w:r>
      <w:r>
        <w:rPr>
          <w:rFonts w:hint="eastAsia" w:ascii="仿宋_GB2312" w:hAnsi="仿宋_GB2312" w:eastAsia="仿宋_GB2312" w:cs="仿宋_GB2312"/>
          <w:bCs/>
          <w:sz w:val="32"/>
          <w:szCs w:val="32"/>
        </w:rPr>
        <w:t>国家中医药综合统计制度，承担中医药部门统计项目</w:t>
      </w:r>
      <w:r>
        <w:rPr>
          <w:rFonts w:ascii="仿宋_GB2312" w:hAnsi="仿宋_GB2312" w:eastAsia="仿宋_GB2312" w:cs="仿宋_GB2312"/>
          <w:bCs/>
          <w:sz w:val="32"/>
          <w:szCs w:val="32"/>
        </w:rPr>
        <w:t>归口管理，开展中医药统计</w:t>
      </w:r>
      <w:r>
        <w:rPr>
          <w:rFonts w:hint="eastAsia" w:ascii="仿宋_GB2312" w:hAnsi="仿宋_GB2312" w:eastAsia="仿宋_GB2312" w:cs="仿宋_GB2312"/>
          <w:bCs/>
          <w:sz w:val="32"/>
          <w:szCs w:val="32"/>
        </w:rPr>
        <w:t>与调查工作。</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㈣开展中医药统计理论与方法研究，承担中医药行业相关数据的监测统计分析，起草中医药事业发展统计公报。</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㈤承担中医医疗服务质量和医疗机构运行情况监测评估，并提供技术指导和咨询服务。</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㈥协助国家中医药管理局</w:t>
      </w:r>
      <w:r>
        <w:rPr>
          <w:rFonts w:ascii="仿宋_GB2312" w:hAnsi="仿宋_GB2312" w:eastAsia="仿宋_GB2312" w:cs="仿宋_GB2312"/>
          <w:bCs/>
          <w:sz w:val="32"/>
          <w:szCs w:val="32"/>
        </w:rPr>
        <w:t>开展中医药</w:t>
      </w:r>
      <w:r>
        <w:rPr>
          <w:rFonts w:hint="eastAsia" w:ascii="仿宋_GB2312" w:hAnsi="仿宋_GB2312" w:eastAsia="仿宋_GB2312" w:cs="仿宋_GB2312"/>
          <w:bCs/>
          <w:sz w:val="32"/>
          <w:szCs w:val="32"/>
        </w:rPr>
        <w:t>重大项目设计论证和需求评估，承担中医药项目执行情况监测和绩效评价工作。</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㈦协助国家中医药管理局开展中医药行业信息化建设与技术支持工作。</w:t>
      </w:r>
    </w:p>
    <w:p>
      <w:pPr>
        <w:spacing w:line="48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㈧开展中医药发展规划、政策研究、数据统计、信息化建设、医疗质量和机构运行情况监测评估等方面的国内外学术交流研讨活动。</w:t>
      </w:r>
    </w:p>
    <w:p>
      <w:pPr>
        <w:spacing w:line="60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㈨承办国家中医药管理局交办的其他事项。</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二、单位内设机构</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（一）国家中医药</w:t>
      </w:r>
      <w:r>
        <w:rPr>
          <w:rFonts w:hint="eastAsia" w:ascii="仿宋_GB2312" w:eastAsia="仿宋_GB2312"/>
          <w:sz w:val="32"/>
          <w:szCs w:val="32"/>
          <w:lang w:val="en-US" w:eastAsia="zh-CN"/>
        </w:rPr>
        <w:t>管理局监测统计中心</w:t>
      </w:r>
      <w:r>
        <w:rPr>
          <w:rFonts w:hint="eastAsia" w:ascii="仿宋_GB2312" w:eastAsia="仿宋_GB2312"/>
          <w:sz w:val="32"/>
          <w:szCs w:val="32"/>
        </w:rPr>
        <w:t>设1</w:t>
      </w:r>
      <w:r>
        <w:rPr>
          <w:rFonts w:hint="eastAsia" w:ascii="仿宋_GB2312" w:eastAsia="仿宋_GB2312"/>
          <w:sz w:val="32"/>
          <w:szCs w:val="32"/>
          <w:lang w:val="en-US" w:eastAsia="zh-CN"/>
        </w:rPr>
        <w:t>1</w:t>
      </w:r>
      <w:r>
        <w:rPr>
          <w:rFonts w:hint="eastAsia" w:ascii="仿宋_GB2312" w:eastAsia="仿宋_GB2312"/>
          <w:sz w:val="32"/>
          <w:szCs w:val="32"/>
        </w:rPr>
        <w:t>个内设机构（正处级），分别是：党政办公室、人事处、财务审计处、</w:t>
      </w:r>
      <w:r>
        <w:rPr>
          <w:rFonts w:hint="eastAsia" w:ascii="仿宋_GB2312" w:eastAsia="仿宋_GB2312"/>
          <w:sz w:val="32"/>
          <w:szCs w:val="32"/>
          <w:lang w:val="en-US" w:eastAsia="zh-CN"/>
        </w:rPr>
        <w:t>战略规划</w:t>
      </w:r>
      <w:r>
        <w:rPr>
          <w:rFonts w:hint="eastAsia" w:ascii="仿宋_GB2312" w:eastAsia="仿宋_GB2312"/>
          <w:sz w:val="32"/>
          <w:szCs w:val="32"/>
        </w:rPr>
        <w:t>处、</w:t>
      </w:r>
      <w:r>
        <w:rPr>
          <w:rFonts w:hint="eastAsia" w:ascii="仿宋_GB2312" w:eastAsia="仿宋_GB2312"/>
          <w:sz w:val="32"/>
          <w:szCs w:val="32"/>
          <w:lang w:val="en-US" w:eastAsia="zh-CN"/>
        </w:rPr>
        <w:t>政策研究处</w:t>
      </w:r>
      <w:r>
        <w:rPr>
          <w:rFonts w:hint="eastAsia" w:ascii="仿宋_GB2312" w:eastAsia="仿宋_GB2312"/>
          <w:sz w:val="32"/>
          <w:szCs w:val="32"/>
        </w:rPr>
        <w:t>、</w:t>
      </w:r>
      <w:r>
        <w:rPr>
          <w:rFonts w:hint="eastAsia" w:ascii="仿宋_GB2312" w:eastAsia="仿宋_GB2312"/>
          <w:sz w:val="32"/>
          <w:szCs w:val="32"/>
          <w:lang w:val="en-US" w:eastAsia="zh-CN"/>
        </w:rPr>
        <w:t>综合统计处</w:t>
      </w:r>
      <w:r>
        <w:rPr>
          <w:rFonts w:hint="eastAsia" w:ascii="仿宋_GB2312" w:eastAsia="仿宋_GB2312"/>
          <w:sz w:val="32"/>
          <w:szCs w:val="32"/>
        </w:rPr>
        <w:t>、</w:t>
      </w:r>
      <w:r>
        <w:rPr>
          <w:rFonts w:hint="eastAsia" w:ascii="仿宋_GB2312" w:eastAsia="仿宋_GB2312"/>
          <w:sz w:val="32"/>
          <w:szCs w:val="32"/>
          <w:lang w:val="en-US" w:eastAsia="zh-CN"/>
        </w:rPr>
        <w:t>专项调查处</w:t>
      </w:r>
      <w:r>
        <w:rPr>
          <w:rFonts w:hint="eastAsia" w:ascii="仿宋_GB2312" w:eastAsia="仿宋_GB2312"/>
          <w:sz w:val="32"/>
          <w:szCs w:val="32"/>
        </w:rPr>
        <w:t>、</w:t>
      </w:r>
      <w:r>
        <w:rPr>
          <w:rFonts w:hint="eastAsia" w:ascii="仿宋_GB2312" w:eastAsia="仿宋_GB2312"/>
          <w:sz w:val="32"/>
          <w:szCs w:val="32"/>
          <w:lang w:val="en-US" w:eastAsia="zh-CN"/>
        </w:rPr>
        <w:t>医疗服务评价处</w:t>
      </w:r>
      <w:r>
        <w:rPr>
          <w:rFonts w:hint="eastAsia" w:ascii="仿宋_GB2312" w:eastAsia="仿宋_GB2312"/>
          <w:sz w:val="32"/>
          <w:szCs w:val="32"/>
        </w:rPr>
        <w:t>、</w:t>
      </w:r>
      <w:r>
        <w:rPr>
          <w:rFonts w:hint="eastAsia" w:ascii="仿宋_GB2312" w:eastAsia="仿宋_GB2312"/>
          <w:sz w:val="32"/>
          <w:szCs w:val="32"/>
          <w:lang w:val="en-US" w:eastAsia="zh-CN"/>
        </w:rPr>
        <w:t>信息化建设处</w:t>
      </w:r>
      <w:r>
        <w:rPr>
          <w:rFonts w:hint="eastAsia" w:ascii="仿宋_GB2312" w:eastAsia="仿宋_GB2312"/>
          <w:sz w:val="32"/>
          <w:szCs w:val="32"/>
        </w:rPr>
        <w:t>、</w:t>
      </w:r>
      <w:r>
        <w:rPr>
          <w:rFonts w:hint="eastAsia" w:ascii="仿宋_GB2312" w:eastAsia="仿宋_GB2312"/>
          <w:sz w:val="32"/>
          <w:szCs w:val="32"/>
          <w:lang w:val="en-US" w:eastAsia="zh-CN"/>
        </w:rPr>
        <w:t>健康医疗大数据处、项目监管处</w:t>
      </w:r>
      <w:r>
        <w:rPr>
          <w:rFonts w:hint="eastAsia" w:ascii="仿宋_GB2312" w:eastAsia="仿宋_GB2312"/>
          <w:sz w:val="32"/>
          <w:szCs w:val="32"/>
        </w:rPr>
        <w:t>。</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（二）国家中医药</w:t>
      </w:r>
      <w:r>
        <w:rPr>
          <w:rFonts w:hint="eastAsia" w:ascii="仿宋_GB2312" w:eastAsia="仿宋_GB2312"/>
          <w:sz w:val="32"/>
          <w:szCs w:val="32"/>
          <w:lang w:val="en-US" w:eastAsia="zh-CN"/>
        </w:rPr>
        <w:t>管理局监测统计中心</w:t>
      </w:r>
      <w:r>
        <w:rPr>
          <w:rFonts w:hint="eastAsia" w:ascii="仿宋_GB2312" w:eastAsia="仿宋_GB2312"/>
          <w:sz w:val="32"/>
          <w:szCs w:val="32"/>
        </w:rPr>
        <w:t>财政补助事业编制</w:t>
      </w:r>
      <w:r>
        <w:rPr>
          <w:rFonts w:hint="eastAsia" w:ascii="仿宋_GB2312" w:eastAsia="仿宋_GB2312"/>
          <w:sz w:val="32"/>
          <w:szCs w:val="32"/>
          <w:lang w:val="en-US" w:eastAsia="zh-CN"/>
        </w:rPr>
        <w:t>70</w:t>
      </w:r>
      <w:r>
        <w:rPr>
          <w:rFonts w:hint="eastAsia" w:ascii="仿宋_GB2312" w:eastAsia="仿宋_GB2312"/>
          <w:sz w:val="32"/>
          <w:szCs w:val="32"/>
        </w:rPr>
        <w:t>名。其中，领导班子职数1正3副（含党组织领导职数1名）；内设机构正副职领导职数</w:t>
      </w:r>
      <w:r>
        <w:rPr>
          <w:rFonts w:hint="eastAsia" w:ascii="仿宋_GB2312" w:eastAsia="仿宋_GB2312"/>
          <w:sz w:val="32"/>
          <w:szCs w:val="32"/>
          <w:lang w:val="en-US" w:eastAsia="zh-CN"/>
        </w:rPr>
        <w:t>28</w:t>
      </w:r>
      <w:r>
        <w:rPr>
          <w:rFonts w:hint="eastAsia" w:ascii="仿宋_GB2312" w:eastAsia="仿宋_GB2312"/>
          <w:sz w:val="32"/>
          <w:szCs w:val="32"/>
        </w:rPr>
        <w:t>名。</w:t>
      </w:r>
    </w:p>
    <w:p>
      <w:pPr>
        <w:rPr>
          <w:rFonts w:ascii="仿宋_GB2312" w:eastAsia="仿宋_GB2312"/>
          <w:sz w:val="32"/>
          <w:szCs w:val="32"/>
        </w:rPr>
      </w:pPr>
    </w:p>
    <w:p>
      <w:pPr>
        <w:spacing w:line="600" w:lineRule="exact"/>
        <w:jc w:val="center"/>
        <w:rPr>
          <w:rFonts w:ascii="黑体" w:hAnsi="黑体" w:eastAsia="黑体"/>
          <w:bCs/>
          <w:sz w:val="32"/>
          <w:szCs w:val="32"/>
        </w:rPr>
      </w:pPr>
      <w:r>
        <w:rPr>
          <w:rFonts w:hint="eastAsia" w:ascii="黑体" w:hAnsi="黑体" w:eastAsia="黑体"/>
          <w:bCs/>
          <w:sz w:val="32"/>
          <w:szCs w:val="32"/>
        </w:rPr>
        <w:t>第二部分 202</w:t>
      </w:r>
      <w:r>
        <w:rPr>
          <w:rFonts w:hint="eastAsia" w:ascii="黑体" w:hAnsi="黑体" w:eastAsia="黑体"/>
          <w:bCs/>
          <w:sz w:val="32"/>
          <w:szCs w:val="32"/>
          <w:lang w:val="en-US" w:eastAsia="zh-CN"/>
        </w:rPr>
        <w:t>4</w:t>
      </w:r>
      <w:r>
        <w:rPr>
          <w:rFonts w:hint="eastAsia" w:ascii="黑体" w:hAnsi="黑体" w:eastAsia="黑体"/>
          <w:bCs/>
          <w:sz w:val="32"/>
          <w:szCs w:val="32"/>
        </w:rPr>
        <w:t>年单位预算表</w:t>
      </w:r>
    </w:p>
    <w:p>
      <w:pPr>
        <w:rPr>
          <w:rFonts w:hint="eastAsia" w:eastAsia="宋体"/>
          <w:lang w:eastAsia="zh-CN"/>
        </w:rPr>
      </w:pPr>
      <w:r>
        <w:rPr>
          <w:rFonts w:hint="eastAsia"/>
        </w:rPr>
        <w:t xml:space="preserve">  </w:t>
      </w:r>
      <w:r>
        <w:rPr>
          <w:rFonts w:hint="eastAsia" w:eastAsia="宋体"/>
          <w:lang w:eastAsia="zh-CN"/>
        </w:rPr>
        <w:drawing>
          <wp:inline distT="0" distB="0" distL="114300" distR="114300">
            <wp:extent cx="5601335" cy="2466975"/>
            <wp:effectExtent l="0" t="0" r="18415" b="9525"/>
            <wp:docPr id="13" name="图片 13" descr="Scan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Scan_0001"/>
                    <pic:cNvPicPr>
                      <a:picLocks noChangeAspect="1"/>
                    </pic:cNvPicPr>
                  </pic:nvPicPr>
                  <pic:blipFill>
                    <a:blip r:embed="rId5"/>
                    <a:stretch>
                      <a:fillRect/>
                    </a:stretch>
                  </pic:blipFill>
                  <pic:spPr>
                    <a:xfrm>
                      <a:off x="0" y="0"/>
                      <a:ext cx="5601335" cy="2466975"/>
                    </a:xfrm>
                    <a:prstGeom prst="rect">
                      <a:avLst/>
                    </a:prstGeom>
                  </pic:spPr>
                </pic:pic>
              </a:graphicData>
            </a:graphic>
          </wp:inline>
        </w:drawing>
      </w:r>
    </w:p>
    <w:p>
      <w:pPr>
        <w:rPr>
          <w:rFonts w:hint="eastAsia" w:eastAsia="宋体"/>
          <w:lang w:eastAsia="zh-CN"/>
        </w:rPr>
      </w:pPr>
    </w:p>
    <w:p>
      <w:pPr>
        <w:rPr>
          <w:rFonts w:hint="eastAsia" w:eastAsia="宋体"/>
          <w:lang w:eastAsia="zh-CN"/>
        </w:rPr>
      </w:pPr>
      <w:r>
        <w:rPr>
          <w:rFonts w:hint="eastAsia" w:eastAsia="宋体"/>
          <w:lang w:eastAsia="zh-CN"/>
        </w:rPr>
        <w:drawing>
          <wp:inline distT="0" distB="0" distL="114300" distR="114300">
            <wp:extent cx="5610225" cy="1064895"/>
            <wp:effectExtent l="0" t="0" r="9525" b="1905"/>
            <wp:docPr id="15" name="图片 15" descr="Scan_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Scan_0009"/>
                    <pic:cNvPicPr>
                      <a:picLocks noChangeAspect="1"/>
                    </pic:cNvPicPr>
                  </pic:nvPicPr>
                  <pic:blipFill>
                    <a:blip r:embed="rId6"/>
                    <a:stretch>
                      <a:fillRect/>
                    </a:stretch>
                  </pic:blipFill>
                  <pic:spPr>
                    <a:xfrm>
                      <a:off x="0" y="0"/>
                      <a:ext cx="5610225" cy="1064895"/>
                    </a:xfrm>
                    <a:prstGeom prst="rect">
                      <a:avLst/>
                    </a:prstGeom>
                  </pic:spPr>
                </pic:pic>
              </a:graphicData>
            </a:graphic>
          </wp:inline>
        </w:drawing>
      </w:r>
      <w:r>
        <w:rPr>
          <w:rFonts w:hint="eastAsia" w:eastAsia="宋体"/>
          <w:lang w:eastAsia="zh-CN"/>
        </w:rPr>
        <w:drawing>
          <wp:inline distT="0" distB="0" distL="114300" distR="114300">
            <wp:extent cx="5612765" cy="2050415"/>
            <wp:effectExtent l="0" t="0" r="6985" b="6985"/>
            <wp:docPr id="11" name="图片 11" descr="Scan_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Scan_0003"/>
                    <pic:cNvPicPr>
                      <a:picLocks noChangeAspect="1"/>
                    </pic:cNvPicPr>
                  </pic:nvPicPr>
                  <pic:blipFill>
                    <a:blip r:embed="rId7"/>
                    <a:stretch>
                      <a:fillRect/>
                    </a:stretch>
                  </pic:blipFill>
                  <pic:spPr>
                    <a:xfrm>
                      <a:off x="0" y="0"/>
                      <a:ext cx="5612765" cy="2050415"/>
                    </a:xfrm>
                    <a:prstGeom prst="rect">
                      <a:avLst/>
                    </a:prstGeom>
                  </pic:spPr>
                </pic:pic>
              </a:graphicData>
            </a:graphic>
          </wp:inline>
        </w:drawing>
      </w:r>
      <w:r>
        <w:rPr>
          <w:rFonts w:hint="eastAsia" w:eastAsia="宋体"/>
          <w:lang w:eastAsia="zh-CN"/>
        </w:rPr>
        <w:drawing>
          <wp:inline distT="0" distB="0" distL="114300" distR="114300">
            <wp:extent cx="5614035" cy="2498725"/>
            <wp:effectExtent l="0" t="0" r="5715" b="15875"/>
            <wp:docPr id="9" name="图片 9" descr="Scan_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Scan_0004"/>
                    <pic:cNvPicPr>
                      <a:picLocks noChangeAspect="1"/>
                    </pic:cNvPicPr>
                  </pic:nvPicPr>
                  <pic:blipFill>
                    <a:blip r:embed="rId8"/>
                    <a:stretch>
                      <a:fillRect/>
                    </a:stretch>
                  </pic:blipFill>
                  <pic:spPr>
                    <a:xfrm>
                      <a:off x="0" y="0"/>
                      <a:ext cx="5614035" cy="2498725"/>
                    </a:xfrm>
                    <a:prstGeom prst="rect">
                      <a:avLst/>
                    </a:prstGeom>
                  </pic:spPr>
                </pic:pic>
              </a:graphicData>
            </a:graphic>
          </wp:inline>
        </w:drawing>
      </w:r>
      <w:r>
        <w:rPr>
          <w:rFonts w:hint="eastAsia" w:eastAsia="宋体"/>
          <w:lang w:eastAsia="zh-CN"/>
        </w:rPr>
        <w:drawing>
          <wp:inline distT="0" distB="0" distL="114300" distR="114300">
            <wp:extent cx="5608955" cy="2181860"/>
            <wp:effectExtent l="0" t="0" r="10795" b="8890"/>
            <wp:docPr id="8" name="图片 8" descr="Scan_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Scan_0005"/>
                    <pic:cNvPicPr>
                      <a:picLocks noChangeAspect="1"/>
                    </pic:cNvPicPr>
                  </pic:nvPicPr>
                  <pic:blipFill>
                    <a:blip r:embed="rId9"/>
                    <a:stretch>
                      <a:fillRect/>
                    </a:stretch>
                  </pic:blipFill>
                  <pic:spPr>
                    <a:xfrm>
                      <a:off x="0" y="0"/>
                      <a:ext cx="5608955" cy="2181860"/>
                    </a:xfrm>
                    <a:prstGeom prst="rect">
                      <a:avLst/>
                    </a:prstGeom>
                  </pic:spPr>
                </pic:pic>
              </a:graphicData>
            </a:graphic>
          </wp:inline>
        </w:drawing>
      </w:r>
      <w:r>
        <w:rPr>
          <w:rFonts w:hint="eastAsia" w:eastAsia="宋体"/>
          <w:lang w:eastAsia="zh-CN"/>
        </w:rPr>
        <w:drawing>
          <wp:inline distT="0" distB="0" distL="114300" distR="114300">
            <wp:extent cx="5604510" cy="3843655"/>
            <wp:effectExtent l="0" t="0" r="15240" b="4445"/>
            <wp:docPr id="7" name="图片 7" descr="Scan_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Scan_0006"/>
                    <pic:cNvPicPr>
                      <a:picLocks noChangeAspect="1"/>
                    </pic:cNvPicPr>
                  </pic:nvPicPr>
                  <pic:blipFill>
                    <a:blip r:embed="rId10"/>
                    <a:stretch>
                      <a:fillRect/>
                    </a:stretch>
                  </pic:blipFill>
                  <pic:spPr>
                    <a:xfrm>
                      <a:off x="0" y="0"/>
                      <a:ext cx="5604510" cy="3843655"/>
                    </a:xfrm>
                    <a:prstGeom prst="rect">
                      <a:avLst/>
                    </a:prstGeom>
                  </pic:spPr>
                </pic:pic>
              </a:graphicData>
            </a:graphic>
          </wp:inline>
        </w:drawing>
      </w:r>
    </w:p>
    <w:p/>
    <w:p>
      <w:pPr>
        <w:rPr>
          <w:rFonts w:hint="eastAsia"/>
        </w:rPr>
      </w:pPr>
    </w:p>
    <w:p/>
    <w:p/>
    <w:p/>
    <w:p/>
    <w:p/>
    <w:p>
      <w:r>
        <w:rPr>
          <w:rFonts w:hint="eastAsia"/>
        </w:rPr>
        <w:t xml:space="preserve"> </w:t>
      </w:r>
    </w:p>
    <w:p/>
    <w:p>
      <w:pPr>
        <w:rPr>
          <w:rFonts w:hint="eastAsia" w:eastAsia="宋体"/>
          <w:lang w:val="en-US" w:eastAsia="zh-CN"/>
        </w:rPr>
      </w:pPr>
    </w:p>
    <w:p>
      <w:pPr>
        <w:spacing w:line="600" w:lineRule="exact"/>
        <w:jc w:val="center"/>
        <w:rPr>
          <w:rFonts w:ascii="黑体" w:hAnsi="黑体" w:eastAsia="黑体"/>
          <w:bCs/>
          <w:sz w:val="32"/>
          <w:szCs w:val="32"/>
        </w:rPr>
      </w:pPr>
    </w:p>
    <w:p>
      <w:pPr>
        <w:spacing w:line="600" w:lineRule="exact"/>
        <w:jc w:val="center"/>
        <w:rPr>
          <w:rFonts w:ascii="黑体" w:hAnsi="黑体" w:eastAsia="黑体"/>
          <w:bCs/>
          <w:sz w:val="32"/>
          <w:szCs w:val="32"/>
        </w:rPr>
      </w:pPr>
      <w:r>
        <w:rPr>
          <w:rFonts w:hint="eastAsia" w:ascii="黑体" w:hAnsi="黑体" w:eastAsia="黑体"/>
          <w:bCs/>
          <w:sz w:val="32"/>
          <w:szCs w:val="32"/>
        </w:rPr>
        <w:t>第三部分 202</w:t>
      </w:r>
      <w:r>
        <w:rPr>
          <w:rFonts w:hint="eastAsia" w:ascii="黑体" w:hAnsi="黑体" w:eastAsia="黑体"/>
          <w:bCs/>
          <w:sz w:val="32"/>
          <w:szCs w:val="32"/>
          <w:lang w:val="en-US" w:eastAsia="zh-CN"/>
        </w:rPr>
        <w:t>4</w:t>
      </w:r>
      <w:r>
        <w:rPr>
          <w:rFonts w:hint="eastAsia" w:ascii="黑体" w:hAnsi="黑体" w:eastAsia="黑体"/>
          <w:bCs/>
          <w:sz w:val="32"/>
          <w:szCs w:val="32"/>
        </w:rPr>
        <w:t>年</w:t>
      </w:r>
      <w:r>
        <w:rPr>
          <w:rFonts w:hint="eastAsia" w:ascii="黑体" w:hAnsi="黑体" w:eastAsia="黑体"/>
          <w:bCs/>
          <w:sz w:val="32"/>
          <w:szCs w:val="32"/>
          <w:lang w:val="en-US" w:eastAsia="zh-CN"/>
        </w:rPr>
        <w:t>部门</w:t>
      </w:r>
      <w:r>
        <w:rPr>
          <w:rFonts w:hint="eastAsia" w:ascii="黑体" w:hAnsi="黑体" w:eastAsia="黑体"/>
          <w:bCs/>
          <w:sz w:val="32"/>
          <w:szCs w:val="32"/>
        </w:rPr>
        <w:t>预算情况说明</w:t>
      </w:r>
    </w:p>
    <w:p>
      <w:pPr>
        <w:spacing w:line="600" w:lineRule="exact"/>
        <w:jc w:val="center"/>
        <w:rPr>
          <w:rFonts w:ascii="黑体" w:hAnsi="黑体" w:eastAsia="黑体"/>
          <w:bCs/>
          <w:sz w:val="32"/>
          <w:szCs w:val="32"/>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一、关于202</w:t>
      </w:r>
      <w:r>
        <w:rPr>
          <w:rFonts w:hint="eastAsia" w:ascii="黑体" w:hAnsi="黑体" w:eastAsia="黑体"/>
          <w:bCs/>
          <w:sz w:val="32"/>
          <w:szCs w:val="32"/>
          <w:lang w:val="en-US" w:eastAsia="zh-CN"/>
        </w:rPr>
        <w:t>4</w:t>
      </w:r>
      <w:r>
        <w:rPr>
          <w:rFonts w:hint="eastAsia" w:ascii="黑体" w:hAnsi="黑体" w:eastAsia="黑体"/>
          <w:bCs/>
          <w:sz w:val="32"/>
          <w:szCs w:val="32"/>
        </w:rPr>
        <w:t>年</w:t>
      </w:r>
      <w:r>
        <w:rPr>
          <w:rFonts w:hint="eastAsia" w:ascii="黑体" w:hAnsi="黑体" w:eastAsia="黑体"/>
          <w:bCs/>
          <w:sz w:val="32"/>
          <w:szCs w:val="32"/>
          <w:lang w:val="en-US" w:eastAsia="zh-CN"/>
        </w:rPr>
        <w:t>部门</w:t>
      </w:r>
      <w:r>
        <w:rPr>
          <w:rFonts w:hint="eastAsia" w:ascii="黑体" w:hAnsi="黑体" w:eastAsia="黑体"/>
          <w:bCs/>
          <w:sz w:val="32"/>
          <w:szCs w:val="32"/>
        </w:rPr>
        <w:t>收支总表的说明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年收支总预算</w:t>
      </w:r>
      <w:r>
        <w:rPr>
          <w:rFonts w:hint="eastAsia" w:ascii="仿宋_GB2312" w:eastAsia="仿宋_GB2312"/>
          <w:sz w:val="32"/>
          <w:szCs w:val="32"/>
          <w:lang w:val="en-US" w:eastAsia="zh-CN"/>
        </w:rPr>
        <w:t>1394.43</w:t>
      </w:r>
      <w:r>
        <w:rPr>
          <w:rFonts w:hint="eastAsia" w:ascii="仿宋_GB2312" w:eastAsia="仿宋_GB2312"/>
          <w:sz w:val="32"/>
          <w:szCs w:val="32"/>
        </w:rPr>
        <w:t>万元。收入包括：一般公共预算拨款收入、事业收入、</w:t>
      </w:r>
      <w:r>
        <w:rPr>
          <w:rFonts w:hint="eastAsia" w:ascii="仿宋_GB2312" w:eastAsia="仿宋_GB2312"/>
          <w:sz w:val="32"/>
          <w:szCs w:val="32"/>
          <w:lang w:eastAsia="zh-CN"/>
        </w:rPr>
        <w:t>其他收入、</w:t>
      </w:r>
      <w:r>
        <w:rPr>
          <w:rFonts w:hint="eastAsia" w:ascii="仿宋_GB2312" w:eastAsia="仿宋_GB2312"/>
          <w:sz w:val="32"/>
          <w:szCs w:val="32"/>
        </w:rPr>
        <w:t>上年结转;支出包括：社会保障和就业支出、卫生健康支出、住房保障支出。</w:t>
      </w:r>
    </w:p>
    <w:p>
      <w:pPr>
        <w:spacing w:line="600" w:lineRule="exact"/>
        <w:ind w:firstLine="640" w:firstLineChars="200"/>
        <w:rPr>
          <w:rFonts w:ascii="黑体" w:hAnsi="黑体" w:eastAsia="黑体"/>
          <w:bCs/>
          <w:color w:val="auto"/>
          <w:sz w:val="32"/>
          <w:szCs w:val="32"/>
        </w:rPr>
      </w:pPr>
      <w:r>
        <w:rPr>
          <w:rFonts w:hint="eastAsia" w:ascii="黑体" w:hAnsi="黑体" w:eastAsia="黑体"/>
          <w:bCs/>
          <w:sz w:val="32"/>
          <w:szCs w:val="32"/>
        </w:rPr>
        <w:t>二、</w:t>
      </w:r>
      <w:r>
        <w:rPr>
          <w:rFonts w:hint="eastAsia" w:ascii="黑体" w:hAnsi="黑体" w:eastAsia="黑体"/>
          <w:bCs/>
          <w:color w:val="auto"/>
          <w:sz w:val="32"/>
          <w:szCs w:val="32"/>
        </w:rPr>
        <w:t>关于202</w:t>
      </w:r>
      <w:r>
        <w:rPr>
          <w:rFonts w:hint="eastAsia" w:ascii="黑体" w:hAnsi="黑体" w:eastAsia="黑体"/>
          <w:bCs/>
          <w:color w:val="auto"/>
          <w:sz w:val="32"/>
          <w:szCs w:val="32"/>
          <w:lang w:val="en-US" w:eastAsia="zh-CN"/>
        </w:rPr>
        <w:t>4</w:t>
      </w:r>
      <w:r>
        <w:rPr>
          <w:rFonts w:hint="eastAsia" w:ascii="黑体" w:hAnsi="黑体" w:eastAsia="黑体"/>
          <w:bCs/>
          <w:color w:val="auto"/>
          <w:sz w:val="32"/>
          <w:szCs w:val="32"/>
        </w:rPr>
        <w:t>年</w:t>
      </w:r>
      <w:r>
        <w:rPr>
          <w:rFonts w:hint="eastAsia" w:ascii="黑体" w:hAnsi="黑体" w:eastAsia="黑体"/>
          <w:bCs/>
          <w:color w:val="auto"/>
          <w:sz w:val="32"/>
          <w:szCs w:val="32"/>
          <w:lang w:val="en-US" w:eastAsia="zh-CN"/>
        </w:rPr>
        <w:t>部门</w:t>
      </w:r>
      <w:r>
        <w:rPr>
          <w:rFonts w:hint="eastAsia" w:ascii="黑体" w:hAnsi="黑体" w:eastAsia="黑体"/>
          <w:bCs/>
          <w:color w:val="auto"/>
          <w:sz w:val="32"/>
          <w:szCs w:val="32"/>
        </w:rPr>
        <w:t>收入总表的说明</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年收入预算</w:t>
      </w:r>
      <w:r>
        <w:rPr>
          <w:rFonts w:hint="eastAsia" w:ascii="仿宋_GB2312" w:eastAsia="仿宋_GB2312"/>
          <w:sz w:val="32"/>
          <w:szCs w:val="32"/>
          <w:lang w:val="en-US" w:eastAsia="zh-CN"/>
        </w:rPr>
        <w:t>1394.43</w:t>
      </w:r>
      <w:r>
        <w:rPr>
          <w:rFonts w:hint="eastAsia" w:ascii="仿宋_GB2312" w:eastAsia="仿宋_GB2312"/>
          <w:sz w:val="32"/>
          <w:szCs w:val="32"/>
        </w:rPr>
        <w:t>万元，其中：一般公共预算拨款收入</w:t>
      </w:r>
      <w:r>
        <w:rPr>
          <w:rFonts w:hint="eastAsia" w:ascii="仿宋_GB2312" w:eastAsia="仿宋_GB2312"/>
          <w:sz w:val="32"/>
          <w:szCs w:val="32"/>
          <w:lang w:val="en-US" w:eastAsia="zh-CN"/>
        </w:rPr>
        <w:t>1060.19</w:t>
      </w:r>
      <w:r>
        <w:rPr>
          <w:rFonts w:hint="eastAsia" w:ascii="仿宋_GB2312" w:eastAsia="仿宋_GB2312"/>
          <w:sz w:val="32"/>
          <w:szCs w:val="32"/>
        </w:rPr>
        <w:t>万元，占</w:t>
      </w:r>
      <w:r>
        <w:rPr>
          <w:rFonts w:hint="eastAsia" w:ascii="仿宋_GB2312" w:eastAsia="仿宋_GB2312"/>
          <w:sz w:val="32"/>
          <w:szCs w:val="32"/>
          <w:lang w:val="en-US" w:eastAsia="zh-CN"/>
        </w:rPr>
        <w:t>76.03</w:t>
      </w:r>
      <w:r>
        <w:rPr>
          <w:rFonts w:hint="eastAsia" w:ascii="仿宋_GB2312" w:eastAsia="仿宋_GB2312"/>
          <w:sz w:val="32"/>
          <w:szCs w:val="32"/>
        </w:rPr>
        <w:t>%；事业收入</w:t>
      </w:r>
      <w:r>
        <w:rPr>
          <w:rFonts w:hint="eastAsia" w:ascii="仿宋_GB2312" w:eastAsia="仿宋_GB2312"/>
          <w:sz w:val="32"/>
          <w:szCs w:val="32"/>
          <w:lang w:val="en-US" w:eastAsia="zh-CN"/>
        </w:rPr>
        <w:t>300</w:t>
      </w:r>
      <w:r>
        <w:rPr>
          <w:rFonts w:hint="eastAsia" w:ascii="仿宋_GB2312" w:eastAsia="仿宋_GB2312"/>
          <w:sz w:val="32"/>
          <w:szCs w:val="32"/>
        </w:rPr>
        <w:t>万元，占</w:t>
      </w:r>
      <w:r>
        <w:rPr>
          <w:rFonts w:hint="eastAsia" w:ascii="仿宋_GB2312" w:eastAsia="仿宋_GB2312"/>
          <w:sz w:val="32"/>
          <w:szCs w:val="32"/>
          <w:lang w:val="en-US" w:eastAsia="zh-CN"/>
        </w:rPr>
        <w:t>21.51</w:t>
      </w:r>
      <w:r>
        <w:rPr>
          <w:rFonts w:hint="eastAsia" w:ascii="仿宋_GB2312" w:eastAsia="仿宋_GB2312"/>
          <w:sz w:val="32"/>
          <w:szCs w:val="32"/>
        </w:rPr>
        <w:t>%；</w:t>
      </w:r>
      <w:r>
        <w:rPr>
          <w:rFonts w:hint="eastAsia" w:ascii="仿宋_GB2312" w:eastAsia="仿宋_GB2312"/>
          <w:sz w:val="32"/>
          <w:szCs w:val="32"/>
          <w:lang w:eastAsia="zh-CN"/>
        </w:rPr>
        <w:t>其他收入</w:t>
      </w:r>
      <w:r>
        <w:rPr>
          <w:rFonts w:hint="eastAsia" w:ascii="仿宋_GB2312" w:eastAsia="仿宋_GB2312"/>
          <w:sz w:val="32"/>
          <w:szCs w:val="32"/>
          <w:lang w:val="en-US" w:eastAsia="zh-CN"/>
        </w:rPr>
        <w:t>5万元</w:t>
      </w:r>
      <w:r>
        <w:rPr>
          <w:rFonts w:hint="eastAsia" w:ascii="仿宋_GB2312" w:eastAsia="仿宋_GB2312"/>
          <w:sz w:val="32"/>
          <w:szCs w:val="32"/>
          <w:lang w:eastAsia="zh-CN"/>
        </w:rPr>
        <w:t>，占</w:t>
      </w:r>
      <w:r>
        <w:rPr>
          <w:rFonts w:hint="eastAsia" w:ascii="仿宋_GB2312" w:eastAsia="仿宋_GB2312"/>
          <w:sz w:val="32"/>
          <w:szCs w:val="32"/>
          <w:lang w:val="en-US" w:eastAsia="zh-CN"/>
        </w:rPr>
        <w:t>0.36%；</w:t>
      </w:r>
      <w:r>
        <w:rPr>
          <w:rFonts w:hint="eastAsia" w:ascii="仿宋_GB2312" w:eastAsia="仿宋_GB2312"/>
          <w:sz w:val="32"/>
          <w:szCs w:val="32"/>
        </w:rPr>
        <w:t>上年结转</w:t>
      </w:r>
      <w:r>
        <w:rPr>
          <w:rFonts w:hint="eastAsia" w:ascii="仿宋_GB2312" w:eastAsia="仿宋_GB2312"/>
          <w:sz w:val="32"/>
          <w:szCs w:val="32"/>
          <w:lang w:val="en-US" w:eastAsia="zh-CN"/>
        </w:rPr>
        <w:t>29.24</w:t>
      </w:r>
      <w:r>
        <w:rPr>
          <w:rFonts w:hint="eastAsia" w:ascii="仿宋_GB2312" w:eastAsia="仿宋_GB2312"/>
          <w:sz w:val="32"/>
          <w:szCs w:val="32"/>
        </w:rPr>
        <w:t>万元，占</w:t>
      </w:r>
      <w:r>
        <w:rPr>
          <w:rFonts w:hint="eastAsia" w:ascii="仿宋_GB2312" w:eastAsia="仿宋_GB2312"/>
          <w:sz w:val="32"/>
          <w:szCs w:val="32"/>
          <w:lang w:val="en-US" w:eastAsia="zh-CN"/>
        </w:rPr>
        <w:t>2.10</w:t>
      </w:r>
      <w:r>
        <w:rPr>
          <w:rFonts w:hint="eastAsia" w:ascii="仿宋_GB2312" w:eastAsia="仿宋_GB2312"/>
          <w:sz w:val="32"/>
          <w:szCs w:val="32"/>
        </w:rPr>
        <w:t xml:space="preserve">%。 </w:t>
      </w:r>
    </w:p>
    <w:p>
      <w:pPr>
        <w:spacing w:line="240" w:lineRule="auto"/>
        <w:rPr>
          <w:rFonts w:hint="eastAsia" w:ascii="仿宋_GB2312" w:eastAsia="仿宋_GB2312"/>
          <w:sz w:val="32"/>
          <w:szCs w:val="32"/>
        </w:rPr>
      </w:pPr>
    </w:p>
    <w:p>
      <w:pPr>
        <w:spacing w:line="240" w:lineRule="auto"/>
        <w:rPr>
          <w:rFonts w:ascii="仿宋_GB2312" w:eastAsia="仿宋_GB2312"/>
          <w:sz w:val="32"/>
          <w:szCs w:val="32"/>
        </w:rPr>
      </w:pPr>
      <w:r>
        <w:drawing>
          <wp:inline distT="0" distB="0" distL="114300" distR="114300">
            <wp:extent cx="5614035" cy="3633470"/>
            <wp:effectExtent l="4445" t="4445" r="20320" b="19685"/>
            <wp:docPr id="19"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
    <w:p>
      <w:pPr>
        <w:spacing w:line="600" w:lineRule="exact"/>
        <w:ind w:firstLine="640" w:firstLineChars="200"/>
        <w:rPr>
          <w:rFonts w:ascii="黑体" w:hAnsi="黑体" w:eastAsia="黑体"/>
          <w:bCs/>
          <w:color w:val="auto"/>
          <w:sz w:val="32"/>
          <w:szCs w:val="32"/>
        </w:rPr>
      </w:pPr>
      <w:r>
        <w:rPr>
          <w:rFonts w:hint="eastAsia" w:ascii="黑体" w:hAnsi="黑体" w:eastAsia="黑体"/>
          <w:bCs/>
          <w:sz w:val="32"/>
          <w:szCs w:val="32"/>
        </w:rPr>
        <w:t>三</w:t>
      </w:r>
      <w:r>
        <w:rPr>
          <w:rFonts w:hint="eastAsia" w:ascii="黑体" w:hAnsi="黑体" w:eastAsia="黑体"/>
          <w:bCs/>
          <w:color w:val="auto"/>
          <w:sz w:val="32"/>
          <w:szCs w:val="32"/>
        </w:rPr>
        <w:t>、关于202</w:t>
      </w:r>
      <w:r>
        <w:rPr>
          <w:rFonts w:hint="eastAsia" w:ascii="黑体" w:hAnsi="黑体" w:eastAsia="黑体"/>
          <w:bCs/>
          <w:color w:val="auto"/>
          <w:sz w:val="32"/>
          <w:szCs w:val="32"/>
          <w:lang w:val="en-US" w:eastAsia="zh-CN"/>
        </w:rPr>
        <w:t>4</w:t>
      </w:r>
      <w:r>
        <w:rPr>
          <w:rFonts w:hint="eastAsia" w:ascii="黑体" w:hAnsi="黑体" w:eastAsia="黑体"/>
          <w:bCs/>
          <w:color w:val="auto"/>
          <w:sz w:val="32"/>
          <w:szCs w:val="32"/>
        </w:rPr>
        <w:t>年</w:t>
      </w:r>
      <w:r>
        <w:rPr>
          <w:rFonts w:hint="eastAsia" w:ascii="黑体" w:hAnsi="黑体" w:eastAsia="黑体"/>
          <w:bCs/>
          <w:color w:val="auto"/>
          <w:sz w:val="32"/>
          <w:szCs w:val="32"/>
          <w:lang w:val="en-US" w:eastAsia="zh-CN"/>
        </w:rPr>
        <w:t>部门</w:t>
      </w:r>
      <w:r>
        <w:rPr>
          <w:rFonts w:hint="eastAsia" w:ascii="黑体" w:hAnsi="黑体" w:eastAsia="黑体"/>
          <w:bCs/>
          <w:color w:val="auto"/>
          <w:sz w:val="32"/>
          <w:szCs w:val="32"/>
        </w:rPr>
        <w:t>支出总表的说明</w:t>
      </w:r>
    </w:p>
    <w:p>
      <w:pPr>
        <w:spacing w:line="600" w:lineRule="exact"/>
        <w:ind w:firstLine="640" w:firstLineChars="200"/>
        <w:rPr>
          <w:rFonts w:hint="eastAsia" w:ascii="仿宋_GB2312" w:eastAsia="仿宋_GB2312"/>
          <w:color w:val="auto"/>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年支出预算</w:t>
      </w:r>
      <w:r>
        <w:rPr>
          <w:rFonts w:hint="eastAsia" w:ascii="仿宋_GB2312" w:eastAsia="仿宋_GB2312"/>
          <w:sz w:val="32"/>
          <w:szCs w:val="32"/>
          <w:lang w:val="en-US" w:eastAsia="zh-CN"/>
        </w:rPr>
        <w:t>1394.43</w:t>
      </w:r>
      <w:r>
        <w:rPr>
          <w:rFonts w:hint="eastAsia" w:ascii="仿宋_GB2312" w:eastAsia="仿宋_GB2312"/>
          <w:sz w:val="32"/>
          <w:szCs w:val="32"/>
        </w:rPr>
        <w:t>万元，</w:t>
      </w:r>
      <w:r>
        <w:rPr>
          <w:rFonts w:hint="eastAsia" w:ascii="仿宋_GB2312" w:eastAsia="仿宋_GB2312"/>
          <w:sz w:val="32"/>
          <w:szCs w:val="32"/>
          <w:lang w:val="en-US" w:eastAsia="zh-CN"/>
        </w:rPr>
        <w:t>其中：</w:t>
      </w:r>
      <w:r>
        <w:rPr>
          <w:rFonts w:hint="eastAsia" w:ascii="仿宋_GB2312" w:eastAsia="仿宋_GB2312"/>
          <w:sz w:val="32"/>
          <w:szCs w:val="32"/>
        </w:rPr>
        <w:t>基本支出</w:t>
      </w:r>
      <w:r>
        <w:rPr>
          <w:rFonts w:hint="eastAsia" w:ascii="仿宋_GB2312" w:eastAsia="仿宋_GB2312"/>
          <w:sz w:val="32"/>
          <w:szCs w:val="32"/>
          <w:lang w:val="en-US" w:eastAsia="zh-CN"/>
        </w:rPr>
        <w:t>1088.23</w:t>
      </w:r>
      <w:r>
        <w:rPr>
          <w:rFonts w:hint="eastAsia" w:ascii="仿宋_GB2312" w:eastAsia="仿宋_GB2312"/>
          <w:sz w:val="32"/>
          <w:szCs w:val="32"/>
        </w:rPr>
        <w:t>万元，占</w:t>
      </w:r>
      <w:r>
        <w:rPr>
          <w:rFonts w:hint="eastAsia" w:ascii="仿宋_GB2312" w:eastAsia="仿宋_GB2312"/>
          <w:sz w:val="32"/>
          <w:szCs w:val="32"/>
          <w:lang w:val="en-US" w:eastAsia="zh-CN"/>
        </w:rPr>
        <w:t>78.04</w:t>
      </w:r>
      <w:r>
        <w:rPr>
          <w:rFonts w:hint="eastAsia" w:ascii="仿宋_GB2312" w:eastAsia="仿宋_GB2312"/>
          <w:sz w:val="32"/>
          <w:szCs w:val="32"/>
        </w:rPr>
        <w:t>%</w:t>
      </w:r>
      <w:r>
        <w:rPr>
          <w:rFonts w:hint="eastAsia" w:ascii="仿宋_GB2312" w:eastAsia="仿宋_GB2312"/>
          <w:sz w:val="32"/>
          <w:szCs w:val="32"/>
          <w:lang w:eastAsia="zh-CN"/>
        </w:rPr>
        <w:t>，项目支出</w:t>
      </w:r>
      <w:r>
        <w:rPr>
          <w:rFonts w:hint="eastAsia" w:ascii="仿宋_GB2312" w:eastAsia="仿宋_GB2312"/>
          <w:sz w:val="32"/>
          <w:szCs w:val="32"/>
          <w:lang w:val="en-US" w:eastAsia="zh-CN"/>
        </w:rPr>
        <w:t>306.20万元，</w:t>
      </w:r>
      <w:r>
        <w:rPr>
          <w:rFonts w:hint="eastAsia" w:ascii="仿宋_GB2312" w:eastAsia="仿宋_GB2312"/>
          <w:color w:val="auto"/>
          <w:sz w:val="32"/>
          <w:szCs w:val="32"/>
          <w:lang w:val="en-US" w:eastAsia="zh-CN"/>
        </w:rPr>
        <w:t>占21.96%</w:t>
      </w:r>
      <w:r>
        <w:rPr>
          <w:rFonts w:hint="eastAsia" w:ascii="仿宋_GB2312" w:eastAsia="仿宋_GB2312"/>
          <w:color w:val="auto"/>
          <w:sz w:val="32"/>
          <w:szCs w:val="32"/>
        </w:rPr>
        <w:t>。</w:t>
      </w:r>
    </w:p>
    <w:p>
      <w:pPr>
        <w:spacing w:line="240" w:lineRule="auto"/>
        <w:ind w:firstLine="0" w:firstLineChars="0"/>
        <w:rPr>
          <w:rFonts w:hint="eastAsia" w:ascii="仿宋_GB2312" w:eastAsia="仿宋_GB2312"/>
          <w:color w:val="auto"/>
          <w:sz w:val="32"/>
          <w:szCs w:val="32"/>
        </w:rPr>
      </w:pPr>
      <w:r>
        <w:drawing>
          <wp:inline distT="0" distB="0" distL="114300" distR="114300">
            <wp:extent cx="5640070" cy="3015615"/>
            <wp:effectExtent l="4445" t="4445" r="13335" b="8890"/>
            <wp:docPr id="20"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
      <w:pPr>
        <w:spacing w:line="600" w:lineRule="exact"/>
        <w:ind w:firstLine="640" w:firstLineChars="200"/>
        <w:rPr>
          <w:rFonts w:ascii="黑体" w:hAnsi="黑体" w:eastAsia="黑体"/>
          <w:bCs/>
          <w:color w:val="auto"/>
          <w:sz w:val="32"/>
          <w:szCs w:val="32"/>
        </w:rPr>
      </w:pPr>
      <w:r>
        <w:rPr>
          <w:rFonts w:hint="eastAsia" w:ascii="黑体" w:hAnsi="黑体" w:eastAsia="黑体"/>
          <w:bCs/>
          <w:sz w:val="32"/>
          <w:szCs w:val="32"/>
        </w:rPr>
        <w:t>四、</w:t>
      </w:r>
      <w:r>
        <w:rPr>
          <w:rFonts w:hint="eastAsia" w:ascii="黑体" w:hAnsi="黑体" w:eastAsia="黑体"/>
          <w:bCs/>
          <w:color w:val="auto"/>
          <w:sz w:val="32"/>
          <w:szCs w:val="32"/>
        </w:rPr>
        <w:t>关于202</w:t>
      </w:r>
      <w:r>
        <w:rPr>
          <w:rFonts w:hint="eastAsia" w:ascii="黑体" w:hAnsi="黑体" w:eastAsia="黑体"/>
          <w:bCs/>
          <w:color w:val="auto"/>
          <w:sz w:val="32"/>
          <w:szCs w:val="32"/>
          <w:lang w:val="en-US" w:eastAsia="zh-CN"/>
        </w:rPr>
        <w:t>4</w:t>
      </w:r>
      <w:r>
        <w:rPr>
          <w:rFonts w:hint="eastAsia" w:ascii="黑体" w:hAnsi="黑体" w:eastAsia="黑体"/>
          <w:bCs/>
          <w:color w:val="auto"/>
          <w:sz w:val="32"/>
          <w:szCs w:val="32"/>
        </w:rPr>
        <w:t>年财政拨款收支总表的说明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年财政拨款收支总预算</w:t>
      </w:r>
      <w:r>
        <w:rPr>
          <w:rFonts w:hint="eastAsia" w:ascii="仿宋_GB2312" w:eastAsia="仿宋_GB2312"/>
          <w:sz w:val="32"/>
          <w:szCs w:val="32"/>
          <w:lang w:val="en-US" w:eastAsia="zh-CN"/>
        </w:rPr>
        <w:t>1089.43</w:t>
      </w:r>
      <w:r>
        <w:rPr>
          <w:rFonts w:hint="eastAsia" w:ascii="仿宋_GB2312" w:eastAsia="仿宋_GB2312"/>
          <w:sz w:val="32"/>
          <w:szCs w:val="32"/>
        </w:rPr>
        <w:t>万元。收入为一般公共预算拨款，无国有资本经营预算拨款，无政府性基金预算拨款,包括：一般公共预算当年拨款收入</w:t>
      </w:r>
      <w:r>
        <w:rPr>
          <w:rFonts w:hint="eastAsia" w:ascii="仿宋_GB2312" w:eastAsia="仿宋_GB2312"/>
          <w:sz w:val="32"/>
          <w:szCs w:val="32"/>
          <w:lang w:val="en-US" w:eastAsia="zh-CN"/>
        </w:rPr>
        <w:t>1060.19</w:t>
      </w:r>
      <w:r>
        <w:rPr>
          <w:rFonts w:hint="eastAsia" w:ascii="仿宋_GB2312" w:eastAsia="仿宋_GB2312"/>
          <w:sz w:val="32"/>
          <w:szCs w:val="32"/>
        </w:rPr>
        <w:t>万元，上年结转</w:t>
      </w:r>
      <w:r>
        <w:rPr>
          <w:rFonts w:hint="eastAsia" w:ascii="仿宋_GB2312" w:eastAsia="仿宋_GB2312"/>
          <w:sz w:val="32"/>
          <w:szCs w:val="32"/>
          <w:lang w:val="en-US" w:eastAsia="zh-CN"/>
        </w:rPr>
        <w:t>29.24</w:t>
      </w:r>
      <w:r>
        <w:rPr>
          <w:rFonts w:hint="eastAsia" w:ascii="仿宋_GB2312" w:eastAsia="仿宋_GB2312"/>
          <w:sz w:val="32"/>
          <w:szCs w:val="32"/>
        </w:rPr>
        <w:t>万元; 支出包括：社会保障和就业支出</w:t>
      </w:r>
      <w:r>
        <w:rPr>
          <w:rFonts w:hint="eastAsia" w:ascii="仿宋_GB2312" w:eastAsia="仿宋_GB2312"/>
          <w:sz w:val="32"/>
          <w:szCs w:val="32"/>
          <w:lang w:val="en-US" w:eastAsia="zh-CN"/>
        </w:rPr>
        <w:t>132.05</w:t>
      </w:r>
      <w:r>
        <w:rPr>
          <w:rFonts w:hint="eastAsia" w:ascii="仿宋_GB2312" w:eastAsia="仿宋_GB2312"/>
          <w:sz w:val="32"/>
          <w:szCs w:val="32"/>
        </w:rPr>
        <w:t>万元，卫生健康支出</w:t>
      </w:r>
      <w:r>
        <w:rPr>
          <w:rFonts w:hint="eastAsia" w:ascii="仿宋_GB2312" w:eastAsia="仿宋_GB2312"/>
          <w:sz w:val="32"/>
          <w:szCs w:val="32"/>
          <w:lang w:val="en-US" w:eastAsia="zh-CN"/>
        </w:rPr>
        <w:t>864.73</w:t>
      </w:r>
      <w:r>
        <w:rPr>
          <w:rFonts w:hint="eastAsia" w:ascii="仿宋_GB2312" w:eastAsia="仿宋_GB2312"/>
          <w:sz w:val="32"/>
          <w:szCs w:val="32"/>
        </w:rPr>
        <w:t>万元，住房保障支出</w:t>
      </w:r>
      <w:r>
        <w:rPr>
          <w:rFonts w:hint="eastAsia" w:ascii="仿宋_GB2312" w:eastAsia="仿宋_GB2312"/>
          <w:sz w:val="32"/>
          <w:szCs w:val="32"/>
          <w:lang w:val="en-US" w:eastAsia="zh-CN"/>
        </w:rPr>
        <w:t>92.65</w:t>
      </w:r>
      <w:r>
        <w:rPr>
          <w:rFonts w:hint="eastAsia" w:ascii="仿宋_GB2312" w:eastAsia="仿宋_GB2312"/>
          <w:sz w:val="32"/>
          <w:szCs w:val="32"/>
        </w:rPr>
        <w:t>万元。</w:t>
      </w:r>
    </w:p>
    <w:p>
      <w:r>
        <w:drawing>
          <wp:inline distT="0" distB="0" distL="114300" distR="114300">
            <wp:extent cx="5478145" cy="3307080"/>
            <wp:effectExtent l="4445" t="4445" r="22860" b="22225"/>
            <wp:docPr id="21"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
        <w:drawing>
          <wp:inline distT="0" distB="0" distL="114300" distR="114300">
            <wp:extent cx="5440045" cy="3063875"/>
            <wp:effectExtent l="4445" t="4445" r="22860" b="17780"/>
            <wp:docPr id="22"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五、关于202</w:t>
      </w:r>
      <w:r>
        <w:rPr>
          <w:rFonts w:hint="eastAsia" w:ascii="黑体" w:hAnsi="黑体" w:eastAsia="黑体"/>
          <w:bCs/>
          <w:sz w:val="32"/>
          <w:szCs w:val="32"/>
          <w:lang w:val="en-US" w:eastAsia="zh-CN"/>
        </w:rPr>
        <w:t>4</w:t>
      </w:r>
      <w:r>
        <w:rPr>
          <w:rFonts w:hint="eastAsia" w:ascii="黑体" w:hAnsi="黑体" w:eastAsia="黑体"/>
          <w:bCs/>
          <w:sz w:val="32"/>
          <w:szCs w:val="32"/>
        </w:rPr>
        <w:t>年一般公共预算支出表的说明</w:t>
      </w:r>
    </w:p>
    <w:p>
      <w:pPr>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（一）一般公共预算当年拨款规模情况。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年一般公共预算当年拨款</w:t>
      </w:r>
      <w:r>
        <w:rPr>
          <w:rFonts w:hint="eastAsia" w:ascii="仿宋_GB2312" w:eastAsia="仿宋_GB2312"/>
          <w:sz w:val="32"/>
          <w:szCs w:val="32"/>
          <w:lang w:val="en-US" w:eastAsia="zh-CN"/>
        </w:rPr>
        <w:t>1060.19</w:t>
      </w:r>
      <w:r>
        <w:rPr>
          <w:rFonts w:hint="eastAsia" w:ascii="仿宋_GB2312" w:eastAsia="仿宋_GB2312"/>
          <w:sz w:val="32"/>
          <w:szCs w:val="32"/>
        </w:rPr>
        <w:t>万元</w:t>
      </w:r>
      <w:r>
        <w:rPr>
          <w:rFonts w:hint="eastAsia" w:ascii="仿宋_GB2312" w:eastAsia="仿宋_GB2312"/>
          <w:sz w:val="32"/>
          <w:szCs w:val="32"/>
          <w:lang w:val="en-US" w:eastAsia="zh-CN"/>
        </w:rPr>
        <w:t>,其中：人员经费649.49万元，公用经费104.50万元，项目经费306.20万元</w:t>
      </w:r>
      <w:r>
        <w:rPr>
          <w:rFonts w:hint="eastAsia" w:ascii="仿宋_GB2312" w:eastAsia="仿宋_GB2312"/>
          <w:sz w:val="32"/>
          <w:szCs w:val="32"/>
        </w:rPr>
        <w:t>。</w:t>
      </w:r>
    </w:p>
    <w:p>
      <w:pPr>
        <w:spacing w:line="240" w:lineRule="auto"/>
        <w:ind w:firstLine="0" w:firstLineChars="0"/>
        <w:rPr>
          <w:rFonts w:hint="eastAsia" w:ascii="仿宋_GB2312" w:eastAsia="仿宋_GB2312"/>
          <w:sz w:val="32"/>
          <w:szCs w:val="32"/>
        </w:rPr>
      </w:pPr>
      <w:r>
        <w:drawing>
          <wp:inline distT="0" distB="0" distL="114300" distR="114300">
            <wp:extent cx="5449570" cy="3054985"/>
            <wp:effectExtent l="4445" t="4445" r="13335" b="7620"/>
            <wp:docPr id="23"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240" w:lineRule="auto"/>
        <w:ind w:firstLine="640" w:firstLineChars="200"/>
        <w:rPr>
          <w:rFonts w:hint="eastAsia" w:ascii="仿宋_GB2312" w:eastAsia="仿宋_GB2312"/>
          <w:sz w:val="32"/>
          <w:szCs w:val="32"/>
        </w:rPr>
      </w:pPr>
    </w:p>
    <w:p>
      <w:pPr>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（二）一般公共预算当年拨款支出结构情况。</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社会保障和就业支出</w:t>
      </w:r>
      <w:r>
        <w:rPr>
          <w:rFonts w:hint="eastAsia" w:ascii="仿宋_GB2312" w:eastAsia="仿宋_GB2312"/>
          <w:sz w:val="32"/>
          <w:szCs w:val="32"/>
          <w:lang w:val="en-US" w:eastAsia="zh-CN"/>
        </w:rPr>
        <w:t>130.19</w:t>
      </w:r>
      <w:r>
        <w:rPr>
          <w:rFonts w:hint="eastAsia" w:ascii="仿宋_GB2312" w:eastAsia="仿宋_GB2312"/>
          <w:sz w:val="32"/>
          <w:szCs w:val="32"/>
        </w:rPr>
        <w:t>万元，占</w:t>
      </w:r>
      <w:r>
        <w:rPr>
          <w:rFonts w:hint="eastAsia" w:ascii="仿宋_GB2312" w:eastAsia="仿宋_GB2312"/>
          <w:sz w:val="32"/>
          <w:szCs w:val="32"/>
          <w:lang w:val="en-US" w:eastAsia="zh-CN"/>
        </w:rPr>
        <w:t>12.28</w:t>
      </w:r>
      <w:r>
        <w:rPr>
          <w:rFonts w:hint="eastAsia" w:ascii="仿宋_GB2312" w:eastAsia="仿宋_GB2312"/>
          <w:sz w:val="32"/>
          <w:szCs w:val="32"/>
        </w:rPr>
        <w:t>%；卫生健康支出</w:t>
      </w:r>
      <w:r>
        <w:rPr>
          <w:rFonts w:hint="eastAsia" w:ascii="仿宋_GB2312" w:eastAsia="仿宋_GB2312"/>
          <w:sz w:val="32"/>
          <w:szCs w:val="32"/>
          <w:lang w:val="en-US" w:eastAsia="zh-CN"/>
        </w:rPr>
        <w:t>863.88</w:t>
      </w:r>
      <w:r>
        <w:rPr>
          <w:rFonts w:hint="eastAsia" w:ascii="仿宋_GB2312" w:eastAsia="仿宋_GB2312"/>
          <w:sz w:val="32"/>
          <w:szCs w:val="32"/>
        </w:rPr>
        <w:t>万元，占</w:t>
      </w:r>
      <w:r>
        <w:rPr>
          <w:rFonts w:hint="eastAsia" w:ascii="仿宋_GB2312" w:eastAsia="仿宋_GB2312"/>
          <w:sz w:val="32"/>
          <w:szCs w:val="32"/>
          <w:lang w:val="en-US" w:eastAsia="zh-CN"/>
        </w:rPr>
        <w:t>81.48</w:t>
      </w:r>
      <w:r>
        <w:rPr>
          <w:rFonts w:hint="eastAsia" w:ascii="仿宋_GB2312" w:eastAsia="仿宋_GB2312"/>
          <w:sz w:val="32"/>
          <w:szCs w:val="32"/>
        </w:rPr>
        <w:t>%；住房保障支出</w:t>
      </w:r>
      <w:r>
        <w:rPr>
          <w:rFonts w:hint="eastAsia" w:ascii="仿宋_GB2312" w:eastAsia="仿宋_GB2312"/>
          <w:sz w:val="32"/>
          <w:szCs w:val="32"/>
          <w:lang w:val="en-US" w:eastAsia="zh-CN"/>
        </w:rPr>
        <w:t>66.12</w:t>
      </w:r>
      <w:r>
        <w:rPr>
          <w:rFonts w:hint="eastAsia" w:ascii="仿宋_GB2312" w:eastAsia="仿宋_GB2312"/>
          <w:sz w:val="32"/>
          <w:szCs w:val="32"/>
        </w:rPr>
        <w:t>万元，占</w:t>
      </w:r>
      <w:r>
        <w:rPr>
          <w:rFonts w:hint="eastAsia" w:ascii="仿宋_GB2312" w:eastAsia="仿宋_GB2312"/>
          <w:sz w:val="32"/>
          <w:szCs w:val="32"/>
          <w:lang w:val="en-US" w:eastAsia="zh-CN"/>
        </w:rPr>
        <w:t>6.24</w:t>
      </w:r>
      <w:r>
        <w:rPr>
          <w:rFonts w:hint="eastAsia" w:ascii="仿宋_GB2312" w:eastAsia="仿宋_GB2312"/>
          <w:sz w:val="32"/>
          <w:szCs w:val="32"/>
        </w:rPr>
        <w:t>%。</w:t>
      </w:r>
    </w:p>
    <w:p>
      <w:pPr>
        <w:spacing w:line="240" w:lineRule="auto"/>
        <w:ind w:firstLine="0" w:firstLineChars="0"/>
        <w:rPr>
          <w:rFonts w:hint="eastAsia" w:ascii="仿宋_GB2312" w:eastAsia="仿宋_GB2312"/>
          <w:sz w:val="32"/>
          <w:szCs w:val="32"/>
        </w:rPr>
      </w:pPr>
      <w:r>
        <w:drawing>
          <wp:inline distT="0" distB="0" distL="114300" distR="114300">
            <wp:extent cx="5250180" cy="3046095"/>
            <wp:effectExtent l="4445" t="4445" r="22225" b="16510"/>
            <wp:docPr id="24"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
      <w:pPr>
        <w:spacing w:line="600" w:lineRule="exact"/>
        <w:ind w:firstLine="643" w:firstLineChars="200"/>
        <w:rPr>
          <w:rFonts w:ascii="楷体_GB2312" w:eastAsia="楷体_GB2312"/>
          <w:b/>
          <w:color w:val="auto"/>
          <w:sz w:val="32"/>
          <w:szCs w:val="32"/>
        </w:rPr>
      </w:pPr>
      <w:r>
        <w:rPr>
          <w:rFonts w:hint="eastAsia" w:ascii="楷体_GB2312" w:eastAsia="楷体_GB2312"/>
          <w:b/>
          <w:color w:val="auto"/>
          <w:sz w:val="32"/>
          <w:szCs w:val="32"/>
        </w:rPr>
        <w:t>(三)一般公共预算当年拨款具体情况。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1.社会保障和就业支出（类）行政事业单位养老支出（款）机关事业单位基本养老保险缴费支出（项）202</w:t>
      </w:r>
      <w:r>
        <w:rPr>
          <w:rFonts w:hint="eastAsia" w:ascii="仿宋_GB2312" w:eastAsia="仿宋_GB2312"/>
          <w:sz w:val="32"/>
          <w:szCs w:val="32"/>
          <w:lang w:val="en-US" w:eastAsia="zh-CN"/>
        </w:rPr>
        <w:t>4</w:t>
      </w:r>
      <w:r>
        <w:rPr>
          <w:rFonts w:hint="eastAsia" w:ascii="仿宋_GB2312" w:eastAsia="仿宋_GB2312"/>
          <w:sz w:val="32"/>
          <w:szCs w:val="32"/>
        </w:rPr>
        <w:t>年年初预算数为</w:t>
      </w:r>
      <w:r>
        <w:rPr>
          <w:rFonts w:hint="eastAsia" w:ascii="仿宋_GB2312" w:eastAsia="仿宋_GB2312"/>
          <w:sz w:val="32"/>
          <w:szCs w:val="32"/>
          <w:lang w:val="en-US" w:eastAsia="zh-CN"/>
        </w:rPr>
        <w:t>82.68</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2.社会保障和就业支出（类）行政事业单位养老支出（款）机关事业单位职业年金缴费支出（项）202</w:t>
      </w:r>
      <w:r>
        <w:rPr>
          <w:rFonts w:hint="eastAsia" w:ascii="仿宋_GB2312" w:eastAsia="仿宋_GB2312"/>
          <w:sz w:val="32"/>
          <w:szCs w:val="32"/>
          <w:lang w:val="en-US" w:eastAsia="zh-CN"/>
        </w:rPr>
        <w:t>4</w:t>
      </w:r>
      <w:r>
        <w:rPr>
          <w:rFonts w:hint="eastAsia" w:ascii="仿宋_GB2312" w:eastAsia="仿宋_GB2312"/>
          <w:sz w:val="32"/>
          <w:szCs w:val="32"/>
        </w:rPr>
        <w:t>年年初预算数为</w:t>
      </w:r>
      <w:r>
        <w:rPr>
          <w:rFonts w:hint="eastAsia" w:ascii="仿宋_GB2312" w:eastAsia="仿宋_GB2312"/>
          <w:sz w:val="32"/>
          <w:szCs w:val="32"/>
          <w:lang w:val="en-US" w:eastAsia="zh-CN"/>
        </w:rPr>
        <w:t>47.51</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3.卫生健康支出</w:t>
      </w:r>
      <w:r>
        <w:rPr>
          <w:rFonts w:hint="eastAsia" w:ascii="仿宋_GB2312" w:eastAsia="仿宋_GB2312"/>
          <w:color w:val="000000"/>
          <w:sz w:val="32"/>
          <w:szCs w:val="32"/>
        </w:rPr>
        <w:t>(类)</w:t>
      </w:r>
      <w:r>
        <w:rPr>
          <w:rFonts w:hint="eastAsia" w:ascii="仿宋_GB2312" w:eastAsia="仿宋_GB2312"/>
          <w:color w:val="000000"/>
          <w:sz w:val="32"/>
          <w:szCs w:val="32"/>
          <w:lang w:eastAsia="zh-CN"/>
        </w:rPr>
        <w:t>中医药</w:t>
      </w:r>
      <w:r>
        <w:rPr>
          <w:rFonts w:hint="eastAsia" w:ascii="仿宋_GB2312" w:eastAsia="仿宋_GB2312"/>
          <w:color w:val="000000"/>
          <w:sz w:val="32"/>
          <w:szCs w:val="32"/>
          <w:lang w:val="en-US" w:eastAsia="zh-CN"/>
        </w:rPr>
        <w:t>事务（款）其他中医药事务支出（项）</w:t>
      </w:r>
      <w:r>
        <w:rPr>
          <w:rFonts w:hint="eastAsia" w:ascii="仿宋_GB2312" w:eastAsia="仿宋_GB2312"/>
          <w:color w:val="FF0000"/>
          <w:sz w:val="32"/>
          <w:szCs w:val="32"/>
        </w:rPr>
        <w:t xml:space="preserve"> </w:t>
      </w: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年年初预算数为</w:t>
      </w:r>
      <w:r>
        <w:rPr>
          <w:rFonts w:hint="eastAsia" w:ascii="仿宋_GB2312" w:eastAsia="仿宋_GB2312"/>
          <w:sz w:val="32"/>
          <w:szCs w:val="32"/>
          <w:lang w:val="en-US" w:eastAsia="zh-CN"/>
        </w:rPr>
        <w:t>863.88</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4.住房保障支出(类)住房改革支出(款)住房公积金(项)202</w:t>
      </w:r>
      <w:r>
        <w:rPr>
          <w:rFonts w:hint="eastAsia" w:ascii="仿宋_GB2312" w:eastAsia="仿宋_GB2312"/>
          <w:sz w:val="32"/>
          <w:szCs w:val="32"/>
          <w:lang w:val="en-US" w:eastAsia="zh-CN"/>
        </w:rPr>
        <w:t>4</w:t>
      </w:r>
      <w:r>
        <w:rPr>
          <w:rFonts w:hint="eastAsia" w:ascii="仿宋_GB2312" w:eastAsia="仿宋_GB2312"/>
          <w:sz w:val="32"/>
          <w:szCs w:val="32"/>
        </w:rPr>
        <w:t>年年初预算数为</w:t>
      </w:r>
      <w:r>
        <w:rPr>
          <w:rFonts w:hint="eastAsia" w:ascii="仿宋_GB2312" w:eastAsia="仿宋_GB2312"/>
          <w:sz w:val="32"/>
          <w:szCs w:val="32"/>
          <w:lang w:val="en-US" w:eastAsia="zh-CN"/>
        </w:rPr>
        <w:t>28.32</w:t>
      </w:r>
      <w:r>
        <w:rPr>
          <w:rFonts w:hint="eastAsia" w:ascii="仿宋_GB2312" w:eastAsia="仿宋_GB2312"/>
          <w:sz w:val="32"/>
          <w:szCs w:val="32"/>
        </w:rPr>
        <w:t>万元。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5.住房保障支出(类)住房改革支出(款)提租补贴(项)202</w:t>
      </w:r>
      <w:r>
        <w:rPr>
          <w:rFonts w:hint="eastAsia" w:ascii="仿宋_GB2312" w:eastAsia="仿宋_GB2312"/>
          <w:sz w:val="32"/>
          <w:szCs w:val="32"/>
          <w:lang w:val="en-US" w:eastAsia="zh-CN"/>
        </w:rPr>
        <w:t>4</w:t>
      </w:r>
      <w:r>
        <w:rPr>
          <w:rFonts w:hint="eastAsia" w:ascii="仿宋_GB2312" w:eastAsia="仿宋_GB2312"/>
          <w:sz w:val="32"/>
          <w:szCs w:val="32"/>
        </w:rPr>
        <w:t>年年初预算数为</w:t>
      </w:r>
      <w:r>
        <w:rPr>
          <w:rFonts w:hint="eastAsia" w:ascii="仿宋_GB2312" w:eastAsia="仿宋_GB2312"/>
          <w:sz w:val="32"/>
          <w:szCs w:val="32"/>
          <w:lang w:val="en-US" w:eastAsia="zh-CN"/>
        </w:rPr>
        <w:t>3.56</w:t>
      </w:r>
      <w:r>
        <w:rPr>
          <w:rFonts w:hint="eastAsia" w:ascii="仿宋_GB2312" w:eastAsia="仿宋_GB2312"/>
          <w:sz w:val="32"/>
          <w:szCs w:val="32"/>
        </w:rPr>
        <w:t>万元。</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6.住房保障支出(类)住房改革支出(款)购房补贴(项)202</w:t>
      </w:r>
      <w:r>
        <w:rPr>
          <w:rFonts w:hint="eastAsia" w:ascii="仿宋_GB2312" w:eastAsia="仿宋_GB2312"/>
          <w:sz w:val="32"/>
          <w:szCs w:val="32"/>
          <w:lang w:val="en-US" w:eastAsia="zh-CN"/>
        </w:rPr>
        <w:t>4</w:t>
      </w:r>
      <w:r>
        <w:rPr>
          <w:rFonts w:hint="eastAsia" w:ascii="仿宋_GB2312" w:eastAsia="仿宋_GB2312"/>
          <w:sz w:val="32"/>
          <w:szCs w:val="32"/>
        </w:rPr>
        <w:t>年年初预算数为</w:t>
      </w:r>
      <w:r>
        <w:rPr>
          <w:rFonts w:hint="eastAsia" w:ascii="仿宋_GB2312" w:eastAsia="仿宋_GB2312"/>
          <w:sz w:val="32"/>
          <w:szCs w:val="32"/>
          <w:lang w:val="en-US" w:eastAsia="zh-CN"/>
        </w:rPr>
        <w:t>34.24</w:t>
      </w:r>
      <w:r>
        <w:rPr>
          <w:rFonts w:hint="eastAsia" w:ascii="仿宋_GB2312" w:eastAsia="仿宋_GB2312"/>
          <w:sz w:val="32"/>
          <w:szCs w:val="32"/>
        </w:rPr>
        <w:t>万元。</w:t>
      </w:r>
    </w:p>
    <w:p>
      <w:pPr>
        <w:spacing w:line="240" w:lineRule="auto"/>
        <w:ind w:firstLine="0" w:firstLineChars="0"/>
        <w:rPr>
          <w:rFonts w:ascii="仿宋_GB2312" w:eastAsia="仿宋_GB2312"/>
          <w:sz w:val="32"/>
          <w:szCs w:val="32"/>
        </w:rPr>
      </w:pPr>
      <w:r>
        <w:drawing>
          <wp:inline distT="0" distB="0" distL="114300" distR="114300">
            <wp:extent cx="5664835" cy="3452495"/>
            <wp:effectExtent l="4445" t="4445" r="7620" b="1016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六、关于202</w:t>
      </w:r>
      <w:r>
        <w:rPr>
          <w:rFonts w:hint="eastAsia" w:ascii="黑体" w:hAnsi="黑体" w:eastAsia="黑体"/>
          <w:bCs/>
          <w:sz w:val="32"/>
          <w:szCs w:val="32"/>
          <w:lang w:val="en-US" w:eastAsia="zh-CN"/>
        </w:rPr>
        <w:t>4</w:t>
      </w:r>
      <w:r>
        <w:rPr>
          <w:rFonts w:hint="eastAsia" w:ascii="黑体" w:hAnsi="黑体" w:eastAsia="黑体"/>
          <w:bCs/>
          <w:sz w:val="32"/>
          <w:szCs w:val="32"/>
        </w:rPr>
        <w:t>年政府性基金预算支出情况的说明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年无政府性基金预算支出。</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七、关于202</w:t>
      </w:r>
      <w:r>
        <w:rPr>
          <w:rFonts w:hint="eastAsia" w:ascii="黑体" w:hAnsi="黑体" w:eastAsia="黑体"/>
          <w:bCs/>
          <w:sz w:val="32"/>
          <w:szCs w:val="32"/>
          <w:lang w:val="en-US" w:eastAsia="zh-CN"/>
        </w:rPr>
        <w:t>4</w:t>
      </w:r>
      <w:r>
        <w:rPr>
          <w:rFonts w:hint="eastAsia" w:ascii="黑体" w:hAnsi="黑体" w:eastAsia="黑体"/>
          <w:bCs/>
          <w:sz w:val="32"/>
          <w:szCs w:val="32"/>
        </w:rPr>
        <w:t>年国有资本经营预算支出情况的说明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年无国有资本经营预算支出。</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八、关于202</w:t>
      </w:r>
      <w:r>
        <w:rPr>
          <w:rFonts w:hint="eastAsia" w:ascii="黑体" w:hAnsi="黑体" w:eastAsia="黑体"/>
          <w:bCs/>
          <w:sz w:val="32"/>
          <w:szCs w:val="32"/>
          <w:lang w:val="en-US" w:eastAsia="zh-CN"/>
        </w:rPr>
        <w:t>4</w:t>
      </w:r>
      <w:r>
        <w:rPr>
          <w:rFonts w:hint="eastAsia" w:ascii="黑体" w:hAnsi="黑体" w:eastAsia="黑体"/>
          <w:bCs/>
          <w:sz w:val="32"/>
          <w:szCs w:val="32"/>
        </w:rPr>
        <w:t>年一般公共预算基本支出表的说明</w:t>
      </w:r>
    </w:p>
    <w:p>
      <w:pPr>
        <w:spacing w:line="60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年一般公共预算基本支出</w:t>
      </w:r>
      <w:r>
        <w:rPr>
          <w:rFonts w:hint="eastAsia" w:ascii="仿宋_GB2312" w:eastAsia="仿宋_GB2312"/>
          <w:sz w:val="32"/>
          <w:szCs w:val="32"/>
          <w:lang w:val="en-US" w:eastAsia="zh-CN"/>
        </w:rPr>
        <w:t>753.99</w:t>
      </w:r>
      <w:r>
        <w:rPr>
          <w:rFonts w:hint="eastAsia" w:ascii="仿宋_GB2312" w:eastAsia="仿宋_GB2312"/>
          <w:sz w:val="32"/>
          <w:szCs w:val="32"/>
        </w:rPr>
        <w:t>万元，其中，人员经费</w:t>
      </w:r>
      <w:r>
        <w:rPr>
          <w:rFonts w:hint="eastAsia" w:ascii="仿宋_GB2312" w:eastAsia="仿宋_GB2312"/>
          <w:sz w:val="32"/>
          <w:szCs w:val="32"/>
          <w:lang w:val="en-US" w:eastAsia="zh-CN"/>
        </w:rPr>
        <w:t>649.49</w:t>
      </w:r>
      <w:r>
        <w:rPr>
          <w:rFonts w:hint="eastAsia" w:ascii="仿宋_GB2312" w:eastAsia="仿宋_GB2312"/>
          <w:sz w:val="32"/>
          <w:szCs w:val="32"/>
        </w:rPr>
        <w:t>万元，主要包括：基本工资、津贴补贴、</w:t>
      </w:r>
      <w:r>
        <w:rPr>
          <w:rFonts w:hint="eastAsia" w:ascii="仿宋_GB2312" w:eastAsia="仿宋_GB2312"/>
          <w:sz w:val="32"/>
          <w:szCs w:val="32"/>
          <w:lang w:val="en-US" w:eastAsia="zh-CN"/>
        </w:rPr>
        <w:t>伙食补助费、</w:t>
      </w:r>
      <w:r>
        <w:rPr>
          <w:rFonts w:hint="eastAsia" w:ascii="仿宋_GB2312" w:eastAsia="仿宋_GB2312"/>
          <w:sz w:val="32"/>
          <w:szCs w:val="32"/>
        </w:rPr>
        <w:t>绩效工资、机关事业单位基本养老保险缴费、职业年金缴费、住房公积金</w:t>
      </w:r>
      <w:r>
        <w:rPr>
          <w:rFonts w:hint="eastAsia" w:ascii="仿宋_GB2312" w:eastAsia="仿宋_GB2312"/>
          <w:sz w:val="32"/>
          <w:szCs w:val="32"/>
          <w:lang w:eastAsia="zh-CN"/>
        </w:rPr>
        <w:t>、</w:t>
      </w:r>
      <w:r>
        <w:rPr>
          <w:rFonts w:hint="eastAsia" w:ascii="仿宋_GB2312" w:eastAsia="仿宋_GB2312"/>
          <w:sz w:val="32"/>
          <w:szCs w:val="32"/>
          <w:lang w:val="en-US" w:eastAsia="zh-CN"/>
        </w:rPr>
        <w:t>退休费、抚恤金等。</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公用经费</w:t>
      </w:r>
      <w:r>
        <w:rPr>
          <w:rFonts w:hint="eastAsia" w:ascii="仿宋_GB2312" w:eastAsia="仿宋_GB2312"/>
          <w:sz w:val="32"/>
          <w:szCs w:val="32"/>
          <w:lang w:val="en-US" w:eastAsia="zh-CN"/>
        </w:rPr>
        <w:t>104.50万元</w:t>
      </w:r>
      <w:r>
        <w:rPr>
          <w:rFonts w:hint="eastAsia" w:ascii="仿宋_GB2312" w:eastAsia="仿宋_GB2312"/>
          <w:sz w:val="32"/>
          <w:szCs w:val="32"/>
        </w:rPr>
        <w:t>万元，主要包括：办公费、电费、</w:t>
      </w:r>
      <w:r>
        <w:rPr>
          <w:rFonts w:hint="eastAsia" w:ascii="仿宋_GB2312" w:eastAsia="仿宋_GB2312"/>
          <w:sz w:val="32"/>
          <w:szCs w:val="32"/>
          <w:lang w:eastAsia="zh-CN"/>
        </w:rPr>
        <w:t>邮电费、差旅费、培训费、</w:t>
      </w:r>
      <w:r>
        <w:rPr>
          <w:rFonts w:hint="eastAsia" w:ascii="仿宋_GB2312" w:eastAsia="仿宋_GB2312"/>
          <w:sz w:val="32"/>
          <w:szCs w:val="32"/>
        </w:rPr>
        <w:t>工会经费、其他商品和服务支出</w:t>
      </w:r>
      <w:r>
        <w:rPr>
          <w:rFonts w:hint="eastAsia" w:ascii="仿宋_GB2312" w:eastAsia="仿宋_GB2312"/>
          <w:sz w:val="32"/>
          <w:szCs w:val="32"/>
          <w:lang w:eastAsia="zh-CN"/>
        </w:rPr>
        <w:t>、办公设备购置等</w:t>
      </w:r>
      <w:r>
        <w:rPr>
          <w:rFonts w:hint="eastAsia" w:ascii="仿宋_GB2312" w:eastAsia="仿宋_GB2312"/>
          <w:sz w:val="32"/>
          <w:szCs w:val="32"/>
        </w:rPr>
        <w:t>。</w:t>
      </w:r>
    </w:p>
    <w:p>
      <w:pPr>
        <w:spacing w:line="240" w:lineRule="auto"/>
        <w:ind w:firstLine="420" w:firstLineChars="200"/>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九、关于202</w:t>
      </w:r>
      <w:r>
        <w:rPr>
          <w:rFonts w:hint="eastAsia" w:ascii="黑体" w:hAnsi="黑体" w:eastAsia="黑体"/>
          <w:bCs/>
          <w:sz w:val="32"/>
          <w:szCs w:val="32"/>
          <w:lang w:val="en-US" w:eastAsia="zh-CN"/>
        </w:rPr>
        <w:t>4</w:t>
      </w:r>
      <w:r>
        <w:rPr>
          <w:rFonts w:hint="eastAsia" w:ascii="黑体" w:hAnsi="黑体" w:eastAsia="黑体"/>
          <w:bCs/>
          <w:sz w:val="32"/>
          <w:szCs w:val="32"/>
        </w:rPr>
        <w:t>年财政拨款预算“三公”经费支出表的说明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年无“三公”经费预算。</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十、关于202</w:t>
      </w:r>
      <w:r>
        <w:rPr>
          <w:rFonts w:hint="eastAsia" w:ascii="黑体" w:hAnsi="黑体" w:eastAsia="黑体"/>
          <w:bCs/>
          <w:sz w:val="32"/>
          <w:szCs w:val="32"/>
          <w:lang w:val="en-US" w:eastAsia="zh-CN"/>
        </w:rPr>
        <w:t>4</w:t>
      </w:r>
      <w:r>
        <w:rPr>
          <w:rFonts w:hint="eastAsia" w:ascii="黑体" w:hAnsi="黑体" w:eastAsia="黑体"/>
          <w:bCs/>
          <w:sz w:val="32"/>
          <w:szCs w:val="32"/>
        </w:rPr>
        <w:t>年其他重要事项情况说明</w:t>
      </w:r>
    </w:p>
    <w:p>
      <w:pPr>
        <w:spacing w:line="600" w:lineRule="exact"/>
        <w:ind w:firstLine="643" w:firstLineChars="200"/>
        <w:rPr>
          <w:rFonts w:hint="default" w:ascii="楷体_GB2312" w:eastAsia="楷体_GB2312"/>
          <w:b/>
          <w:sz w:val="32"/>
          <w:szCs w:val="32"/>
          <w:lang w:val="en-US" w:eastAsia="zh-CN"/>
        </w:rPr>
      </w:pPr>
      <w:r>
        <w:rPr>
          <w:rFonts w:hint="eastAsia" w:ascii="楷体_GB2312" w:eastAsia="楷体_GB2312"/>
          <w:b/>
          <w:sz w:val="32"/>
          <w:szCs w:val="32"/>
        </w:rPr>
        <w:t>（一）政府采购情况说明。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年政府采购预算支出</w:t>
      </w:r>
      <w:r>
        <w:rPr>
          <w:rFonts w:hint="eastAsia" w:ascii="仿宋_GB2312" w:eastAsia="仿宋_GB2312"/>
          <w:sz w:val="32"/>
          <w:szCs w:val="32"/>
          <w:lang w:val="en-US" w:eastAsia="zh-CN"/>
        </w:rPr>
        <w:t>8.58万元</w:t>
      </w:r>
      <w:r>
        <w:rPr>
          <w:rFonts w:hint="eastAsia" w:ascii="仿宋_GB2312" w:eastAsia="仿宋_GB2312"/>
          <w:sz w:val="32"/>
          <w:szCs w:val="32"/>
        </w:rPr>
        <w:t>。</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（二）国有资产占有使用情况说明。</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4</w:t>
      </w:r>
      <w:r>
        <w:rPr>
          <w:rFonts w:hint="eastAsia" w:ascii="仿宋_GB2312" w:eastAsia="仿宋_GB2312"/>
          <w:sz w:val="32"/>
          <w:szCs w:val="32"/>
        </w:rPr>
        <w:t>年财政预算</w:t>
      </w:r>
      <w:r>
        <w:rPr>
          <w:rFonts w:ascii="仿宋_GB2312" w:eastAsia="仿宋_GB2312"/>
          <w:sz w:val="32"/>
          <w:szCs w:val="32"/>
        </w:rPr>
        <w:t>未</w:t>
      </w:r>
      <w:r>
        <w:rPr>
          <w:rFonts w:hint="eastAsia" w:ascii="仿宋_GB2312" w:eastAsia="仿宋_GB2312"/>
          <w:sz w:val="32"/>
          <w:szCs w:val="32"/>
        </w:rPr>
        <w:t>安排购置车辆及购置单位价值50万元以上的通用设备。</w:t>
      </w:r>
    </w:p>
    <w:p>
      <w:pPr>
        <w:spacing w:line="600" w:lineRule="exact"/>
        <w:ind w:firstLine="640" w:firstLineChars="200"/>
        <w:rPr>
          <w:rFonts w:ascii="仿宋_GB2312" w:eastAsia="仿宋_GB2312"/>
          <w:sz w:val="32"/>
          <w:szCs w:val="32"/>
        </w:rPr>
      </w:pPr>
    </w:p>
    <w:p>
      <w:pPr>
        <w:spacing w:line="600" w:lineRule="exact"/>
        <w:jc w:val="center"/>
        <w:rPr>
          <w:rFonts w:ascii="黑体" w:hAnsi="黑体" w:eastAsia="黑体"/>
          <w:bCs/>
          <w:sz w:val="32"/>
          <w:szCs w:val="32"/>
        </w:rPr>
      </w:pPr>
      <w:r>
        <w:rPr>
          <w:rFonts w:hint="eastAsia" w:ascii="黑体" w:hAnsi="黑体" w:eastAsia="黑体"/>
          <w:bCs/>
          <w:sz w:val="32"/>
          <w:szCs w:val="32"/>
        </w:rPr>
        <w:t>第四部分 名词解释</w:t>
      </w:r>
    </w:p>
    <w:p>
      <w:pPr>
        <w:spacing w:line="600" w:lineRule="exact"/>
        <w:ind w:firstLine="640" w:firstLineChars="200"/>
        <w:rPr>
          <w:rFonts w:ascii="仿宋_GB2312" w:eastAsia="仿宋_GB2312"/>
          <w:sz w:val="32"/>
          <w:szCs w:val="32"/>
        </w:rPr>
      </w:pP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一、收入科目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（一）一般公共预算拨款收入：指中央财政当年拨付的资金。</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（二）事业收入：指事业单位开展专业业务活动及辅助活动所取得的收入。</w:t>
      </w:r>
    </w:p>
    <w:p>
      <w:pPr>
        <w:spacing w:line="60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rPr>
        <w:t>（三）</w:t>
      </w:r>
      <w:r>
        <w:rPr>
          <w:rFonts w:hint="eastAsia" w:ascii="仿宋_GB2312" w:eastAsia="仿宋_GB2312"/>
          <w:sz w:val="32"/>
          <w:szCs w:val="32"/>
          <w:lang w:eastAsia="zh-CN"/>
        </w:rPr>
        <w:t>其他收入：指除财政拨款收入、事业收入、上级补助收入、附属单位上缴收入等以外的各项收入。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w:t>
      </w:r>
      <w:r>
        <w:rPr>
          <w:rFonts w:hint="eastAsia" w:ascii="仿宋_GB2312" w:eastAsia="仿宋_GB2312"/>
          <w:sz w:val="32"/>
          <w:szCs w:val="32"/>
          <w:lang w:eastAsia="zh-CN"/>
        </w:rPr>
        <w:t>四</w:t>
      </w:r>
      <w:r>
        <w:rPr>
          <w:rFonts w:hint="eastAsia" w:ascii="仿宋_GB2312" w:eastAsia="仿宋_GB2312"/>
          <w:sz w:val="32"/>
          <w:szCs w:val="32"/>
        </w:rPr>
        <w:t>）上年结转：指以前年度安排、结转到本年扔按原规定用途继续使用的资金。</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二、支出科目</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（一）社会保障和就业支出（类）：反映政府在社会保障与就业方面的支出。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行政事业单位养老支出（款）：反映用于行政事业单位养老方面的支出。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机关事业单位基本养老保险缴费支出（项）：反映机关事业单位实施养老保险制度由单位缴纳的基本养老保险费支出。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机关事业单位职业年金缴费支出（项）：反映机关事业单位实施养老保险制度由单位实际缴纳的职业年金支出。</w:t>
      </w:r>
    </w:p>
    <w:p>
      <w:pPr>
        <w:spacing w:line="600" w:lineRule="exact"/>
        <w:ind w:firstLine="643" w:firstLineChars="200"/>
        <w:rPr>
          <w:rFonts w:ascii="楷体_GB2312" w:eastAsia="楷体_GB2312"/>
          <w:b/>
          <w:sz w:val="32"/>
          <w:szCs w:val="32"/>
        </w:rPr>
      </w:pPr>
      <w:r>
        <w:rPr>
          <w:rFonts w:hint="eastAsia" w:ascii="楷体_GB2312" w:eastAsia="楷体_GB2312"/>
          <w:b/>
          <w:sz w:val="32"/>
          <w:szCs w:val="32"/>
        </w:rPr>
        <w:t>（二）卫生健康支出（类）：反映政府卫生健康方面的支出。</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中医药事务</w:t>
      </w:r>
      <w:r>
        <w:rPr>
          <w:rFonts w:hint="eastAsia" w:ascii="仿宋_GB2312" w:eastAsia="仿宋_GB2312"/>
          <w:sz w:val="32"/>
          <w:szCs w:val="32"/>
        </w:rPr>
        <w:t>（款）：反映</w:t>
      </w:r>
      <w:r>
        <w:rPr>
          <w:rFonts w:hint="eastAsia" w:ascii="仿宋_GB2312" w:eastAsia="仿宋_GB2312"/>
          <w:sz w:val="32"/>
          <w:szCs w:val="32"/>
          <w:lang w:eastAsia="zh-CN"/>
        </w:rPr>
        <w:t>中医药管理等</w:t>
      </w:r>
      <w:r>
        <w:rPr>
          <w:rFonts w:hint="eastAsia" w:ascii="仿宋_GB2312" w:eastAsia="仿宋_GB2312"/>
          <w:sz w:val="32"/>
          <w:szCs w:val="32"/>
        </w:rPr>
        <w:t>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lang w:eastAsia="zh-CN"/>
        </w:rPr>
        <w:t>其他</w:t>
      </w:r>
      <w:r>
        <w:rPr>
          <w:rFonts w:hint="eastAsia" w:ascii="仿宋_GB2312" w:eastAsia="仿宋_GB2312"/>
          <w:sz w:val="32"/>
          <w:szCs w:val="32"/>
        </w:rPr>
        <w:t>中医药</w:t>
      </w:r>
      <w:r>
        <w:rPr>
          <w:rFonts w:hint="eastAsia" w:ascii="仿宋_GB2312" w:eastAsia="仿宋_GB2312"/>
          <w:sz w:val="32"/>
          <w:szCs w:val="32"/>
          <w:lang w:eastAsia="zh-CN"/>
        </w:rPr>
        <w:t>事务支出</w:t>
      </w:r>
      <w:r>
        <w:rPr>
          <w:rFonts w:hint="eastAsia" w:ascii="仿宋_GB2312" w:eastAsia="仿宋_GB2312"/>
          <w:sz w:val="32"/>
          <w:szCs w:val="32"/>
        </w:rPr>
        <w:t>（项）：　反映</w:t>
      </w:r>
      <w:r>
        <w:rPr>
          <w:rFonts w:hint="eastAsia" w:ascii="仿宋_GB2312" w:eastAsia="仿宋_GB2312"/>
          <w:sz w:val="32"/>
          <w:szCs w:val="32"/>
          <w:lang w:eastAsia="zh-CN"/>
        </w:rPr>
        <w:t>其他用于</w:t>
      </w:r>
      <w:r>
        <w:rPr>
          <w:rFonts w:hint="eastAsia" w:ascii="仿宋_GB2312" w:eastAsia="仿宋_GB2312"/>
          <w:sz w:val="32"/>
          <w:szCs w:val="32"/>
        </w:rPr>
        <w:t>中医药</w:t>
      </w:r>
      <w:r>
        <w:rPr>
          <w:rFonts w:hint="eastAsia" w:ascii="仿宋_GB2312" w:eastAsia="仿宋_GB2312"/>
          <w:sz w:val="32"/>
          <w:szCs w:val="32"/>
          <w:lang w:eastAsia="zh-CN"/>
        </w:rPr>
        <w:t>事务</w:t>
      </w:r>
      <w:r>
        <w:rPr>
          <w:rFonts w:hint="eastAsia" w:ascii="仿宋_GB2312" w:eastAsia="仿宋_GB2312"/>
          <w:sz w:val="32"/>
          <w:szCs w:val="32"/>
        </w:rPr>
        <w:t>方面的支出。　</w:t>
      </w:r>
    </w:p>
    <w:p>
      <w:pPr>
        <w:spacing w:line="600" w:lineRule="exact"/>
        <w:ind w:firstLine="643" w:firstLineChars="200"/>
        <w:rPr>
          <w:rFonts w:ascii="楷体_GB2312" w:eastAsia="楷体_GB2312"/>
          <w:b/>
          <w:sz w:val="32"/>
          <w:szCs w:val="32"/>
        </w:rPr>
      </w:pPr>
      <w:bookmarkStart w:id="0" w:name="_GoBack"/>
      <w:bookmarkEnd w:id="0"/>
      <w:r>
        <w:rPr>
          <w:rFonts w:hint="eastAsia" w:ascii="楷体_GB2312" w:eastAsia="楷体_GB2312"/>
          <w:b/>
          <w:sz w:val="32"/>
          <w:szCs w:val="32"/>
        </w:rPr>
        <w:t>（三）住房保障支出（类）：集中反映政府用于住房方面的支出。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住房改革支出（款）：指行政事业单位用财政拨款资金和其他资金等安排的住房改革支出。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住房公积金（项）：指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目前已实施约20年时间。行政单位缴存基数包括国家统一规定的公务员职务工资、级别工资、机关工人岗位工资和技术等级（职务）工资、年终一次性奖金、特殊岗位津贴、艰苦边远地区津贴，规范后发放的工作性津贴、生活性补贴等;事业单位缴存基数包括国家统一规定的岗位工资、薪级工资、绩效工资、艰苦边远地区津贴、特殊岗位津贴等。</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提租补贴（项）：指经国务院批准，于2000年开始针对在京中央单位公有住房租金标准提高发放的补贴，中央在京单位按照在编职工人数和离退休人数以及相应职级的补贴标准确定，人均月补贴90元。</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购房补贴（项）：指根据《国务院关于进一步深化城镇住房制度改革加快住房建设的通知》(国发</w:t>
      </w:r>
      <w:r>
        <w:rPr>
          <w:rFonts w:hint="eastAsia" w:ascii="仿宋_GB2312" w:hAnsi="仿宋" w:eastAsia="仿宋_GB2312" w:cs="仿宋_GB2312"/>
          <w:sz w:val="32"/>
          <w:szCs w:val="32"/>
        </w:rPr>
        <w:t>〔</w:t>
      </w:r>
      <w:r>
        <w:rPr>
          <w:rFonts w:hint="eastAsia" w:ascii="仿宋_GB2312" w:eastAsia="仿宋_GB2312"/>
          <w:sz w:val="32"/>
          <w:szCs w:val="32"/>
        </w:rPr>
        <w:t>1998</w:t>
      </w:r>
      <w:r>
        <w:rPr>
          <w:rFonts w:hint="eastAsia" w:ascii="仿宋_GB2312" w:hAnsi="仿宋" w:eastAsia="仿宋_GB2312" w:cs="仿宋_GB2312"/>
          <w:sz w:val="32"/>
          <w:szCs w:val="32"/>
        </w:rPr>
        <w:t>〕</w:t>
      </w:r>
      <w:r>
        <w:rPr>
          <w:rFonts w:hint="eastAsia" w:ascii="仿宋_GB2312" w:eastAsia="仿宋_GB2312"/>
          <w:sz w:val="32"/>
          <w:szCs w:val="32"/>
        </w:rPr>
        <w:t>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国务院办公厅转发建设部等单位&lt;关于完善在京中央和国家机关住房制度的若干意见&gt;的通知》（厅字</w:t>
      </w:r>
      <w:r>
        <w:rPr>
          <w:rFonts w:hint="eastAsia" w:ascii="仿宋_GB2312" w:hAnsi="仿宋" w:eastAsia="仿宋_GB2312" w:cs="仿宋_GB2312"/>
          <w:sz w:val="32"/>
          <w:szCs w:val="32"/>
        </w:rPr>
        <w:t>〔</w:t>
      </w:r>
      <w:r>
        <w:rPr>
          <w:rFonts w:hint="eastAsia" w:ascii="仿宋_GB2312" w:eastAsia="仿宋_GB2312"/>
          <w:sz w:val="32"/>
          <w:szCs w:val="32"/>
        </w:rPr>
        <w:t>2005</w:t>
      </w:r>
      <w:r>
        <w:rPr>
          <w:rFonts w:hint="eastAsia" w:ascii="仿宋_GB2312" w:hAnsi="仿宋" w:eastAsia="仿宋_GB2312" w:cs="仿宋_GB2312"/>
          <w:sz w:val="32"/>
          <w:szCs w:val="32"/>
        </w:rPr>
        <w:t>〕</w:t>
      </w:r>
      <w:r>
        <w:rPr>
          <w:rFonts w:hint="eastAsia" w:ascii="仿宋_GB2312" w:eastAsia="仿宋_GB2312"/>
          <w:sz w:val="32"/>
          <w:szCs w:val="32"/>
        </w:rPr>
        <w:t>8号）规定的标准执行，京外中央单位按照所在地人民政府住房分配货币化改革的政策规定和标准执行。</w:t>
      </w:r>
    </w:p>
    <w:p>
      <w:pPr>
        <w:spacing w:line="600" w:lineRule="exact"/>
        <w:ind w:firstLine="640" w:firstLineChars="200"/>
        <w:rPr>
          <w:rFonts w:ascii="黑体" w:hAnsi="黑体" w:eastAsia="黑体"/>
          <w:bCs/>
          <w:sz w:val="32"/>
          <w:szCs w:val="32"/>
        </w:rPr>
      </w:pPr>
      <w:r>
        <w:rPr>
          <w:rFonts w:hint="eastAsia" w:ascii="黑体" w:hAnsi="黑体" w:eastAsia="黑体"/>
          <w:bCs/>
          <w:sz w:val="32"/>
          <w:szCs w:val="32"/>
        </w:rPr>
        <w:t>三、“三公”经费</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纳入预算管理的“三公”经费主要指用财政拨款安排的因公出国（境）费、公务用车购置及运行费和公务接待费。其中:</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因公出国（境）费反映单位公务出国（境）的住宿费、旅费、伙食补助费、杂费、培训费等支出;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公务用车购置及运行费反映单位公务用车购置费及租用费、燃料费、维修费、过路过桥费、保险费、安全奖励费用等支出;</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公务接待费反映单位按规定开支的各类公务接待（含外宾接待）支出。</w:t>
      </w:r>
    </w:p>
    <w:p>
      <w:pPr>
        <w:numPr>
          <w:ilvl w:val="0"/>
          <w:numId w:val="0"/>
        </w:numPr>
        <w:spacing w:line="600" w:lineRule="exact"/>
        <w:jc w:val="both"/>
        <w:rPr>
          <w:rFonts w:ascii="黑体" w:hAnsi="黑体" w:eastAsia="黑体"/>
          <w:bCs/>
          <w:sz w:val="32"/>
          <w:szCs w:val="32"/>
        </w:rPr>
      </w:pPr>
    </w:p>
    <w:p>
      <w:pPr>
        <w:rPr>
          <w:rFonts w:ascii="黑体" w:hAnsi="黑体" w:eastAsia="黑体"/>
          <w:bCs/>
          <w:sz w:val="32"/>
          <w:szCs w:val="32"/>
        </w:rPr>
      </w:pPr>
    </w:p>
    <w:p>
      <w:pPr>
        <w:rPr>
          <w:sz w:val="22"/>
        </w:rPr>
      </w:pPr>
    </w:p>
    <w:sectPr>
      <w:footerReference r:id="rId3" w:type="default"/>
      <w:pgSz w:w="11906" w:h="16838"/>
      <w:pgMar w:top="1701" w:right="1531" w:bottom="170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altName w:val="宋体"/>
    <w:panose1 w:val="02000500000000000000"/>
    <w:charset w:val="86"/>
    <w:family w:val="auto"/>
    <w:pitch w:val="default"/>
    <w:sig w:usb0="00000000" w:usb1="00000000"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ascii="华文仿宋" w:hAnsi="华文仿宋" w:eastAsia="华文仿宋"/>
        <w:sz w:val="28"/>
        <w:szCs w:val="28"/>
      </w:rPr>
      <w:t xml:space="preserve">— </w:t>
    </w:r>
    <w:r>
      <w:rPr>
        <w:rFonts w:ascii="华文仿宋" w:hAnsi="华文仿宋" w:eastAsia="华文仿宋"/>
        <w:sz w:val="28"/>
        <w:szCs w:val="28"/>
      </w:rPr>
      <w:fldChar w:fldCharType="begin"/>
    </w:r>
    <w:r>
      <w:rPr>
        <w:rFonts w:ascii="华文仿宋" w:hAnsi="华文仿宋" w:eastAsia="华文仿宋"/>
        <w:sz w:val="28"/>
        <w:szCs w:val="28"/>
      </w:rPr>
      <w:instrText xml:space="preserve">PAGE   \* MERGEFORMAT</w:instrText>
    </w:r>
    <w:r>
      <w:rPr>
        <w:rFonts w:ascii="华文仿宋" w:hAnsi="华文仿宋" w:eastAsia="华文仿宋"/>
        <w:sz w:val="28"/>
        <w:szCs w:val="28"/>
      </w:rPr>
      <w:fldChar w:fldCharType="separate"/>
    </w:r>
    <w:r>
      <w:rPr>
        <w:rFonts w:ascii="华文仿宋" w:hAnsi="华文仿宋" w:eastAsia="华文仿宋"/>
        <w:sz w:val="28"/>
        <w:szCs w:val="28"/>
        <w:lang w:val="zh-CN"/>
      </w:rPr>
      <w:t>15</w:t>
    </w:r>
    <w:r>
      <w:rPr>
        <w:rFonts w:ascii="华文仿宋" w:hAnsi="华文仿宋" w:eastAsia="华文仿宋"/>
        <w:sz w:val="28"/>
        <w:szCs w:val="28"/>
      </w:rPr>
      <w:fldChar w:fldCharType="end"/>
    </w:r>
    <w:r>
      <w:rPr>
        <w:rFonts w:hint="eastAsia" w:ascii="华文仿宋" w:hAnsi="华文仿宋" w:eastAsia="华文仿宋"/>
        <w:sz w:val="28"/>
        <w:szCs w:val="28"/>
      </w:rPr>
      <w:t xml:space="preserve"> —</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0"/>
  <w:bordersDoNotSurroundFooter w:val="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lNDc1MzM4ZWIzYTEyMGVjYTk5NDk3OWE4MzFhOGQifQ=="/>
  </w:docVars>
  <w:rsids>
    <w:rsidRoot w:val="00174A38"/>
    <w:rsid w:val="00005DD2"/>
    <w:rsid w:val="00022BF2"/>
    <w:rsid w:val="00092F04"/>
    <w:rsid w:val="00095849"/>
    <w:rsid w:val="000D621B"/>
    <w:rsid w:val="000F1432"/>
    <w:rsid w:val="00106C8A"/>
    <w:rsid w:val="0013589C"/>
    <w:rsid w:val="00174A38"/>
    <w:rsid w:val="00176ED8"/>
    <w:rsid w:val="001E0862"/>
    <w:rsid w:val="00223AED"/>
    <w:rsid w:val="00224327"/>
    <w:rsid w:val="00261ACD"/>
    <w:rsid w:val="002758D7"/>
    <w:rsid w:val="002E35E1"/>
    <w:rsid w:val="002E76E0"/>
    <w:rsid w:val="003B3DFB"/>
    <w:rsid w:val="003E1028"/>
    <w:rsid w:val="00430BDB"/>
    <w:rsid w:val="00453FD7"/>
    <w:rsid w:val="00500FED"/>
    <w:rsid w:val="00544905"/>
    <w:rsid w:val="00553754"/>
    <w:rsid w:val="0058268E"/>
    <w:rsid w:val="005E1EB1"/>
    <w:rsid w:val="006441F6"/>
    <w:rsid w:val="00652C8F"/>
    <w:rsid w:val="0072762E"/>
    <w:rsid w:val="00744EA4"/>
    <w:rsid w:val="0078005F"/>
    <w:rsid w:val="008A2CDF"/>
    <w:rsid w:val="008A58FE"/>
    <w:rsid w:val="008B11AA"/>
    <w:rsid w:val="008E0C60"/>
    <w:rsid w:val="0090384A"/>
    <w:rsid w:val="00985935"/>
    <w:rsid w:val="009A04C9"/>
    <w:rsid w:val="009F7CA1"/>
    <w:rsid w:val="00AD026B"/>
    <w:rsid w:val="00B0091D"/>
    <w:rsid w:val="00B101A7"/>
    <w:rsid w:val="00B87985"/>
    <w:rsid w:val="00BD3049"/>
    <w:rsid w:val="00D37D01"/>
    <w:rsid w:val="00D50772"/>
    <w:rsid w:val="00E97E19"/>
    <w:rsid w:val="00EF2EF9"/>
    <w:rsid w:val="00FD3441"/>
    <w:rsid w:val="02CE5A23"/>
    <w:rsid w:val="03D914B2"/>
    <w:rsid w:val="04934A97"/>
    <w:rsid w:val="05094EE6"/>
    <w:rsid w:val="05597178"/>
    <w:rsid w:val="09111C15"/>
    <w:rsid w:val="0A1D5CA7"/>
    <w:rsid w:val="0B7B20D3"/>
    <w:rsid w:val="0E1C58A8"/>
    <w:rsid w:val="0F996C2A"/>
    <w:rsid w:val="11CF5921"/>
    <w:rsid w:val="1B8408B4"/>
    <w:rsid w:val="1C7B0F0D"/>
    <w:rsid w:val="1CC810E8"/>
    <w:rsid w:val="1D5C3CAE"/>
    <w:rsid w:val="1ECE5CA2"/>
    <w:rsid w:val="1EDD216C"/>
    <w:rsid w:val="1FC86DD3"/>
    <w:rsid w:val="24300928"/>
    <w:rsid w:val="257F6FF5"/>
    <w:rsid w:val="25BA2412"/>
    <w:rsid w:val="25D32BD0"/>
    <w:rsid w:val="26B34FED"/>
    <w:rsid w:val="270C46A1"/>
    <w:rsid w:val="27E13C65"/>
    <w:rsid w:val="2A113EF1"/>
    <w:rsid w:val="315725D6"/>
    <w:rsid w:val="36091EE4"/>
    <w:rsid w:val="3C724B44"/>
    <w:rsid w:val="3D141CAF"/>
    <w:rsid w:val="40C96B6F"/>
    <w:rsid w:val="48BA2191"/>
    <w:rsid w:val="4A441989"/>
    <w:rsid w:val="4B5E33B5"/>
    <w:rsid w:val="4C4F24BF"/>
    <w:rsid w:val="4D1C40CD"/>
    <w:rsid w:val="4F127F72"/>
    <w:rsid w:val="4F191C7C"/>
    <w:rsid w:val="50C62971"/>
    <w:rsid w:val="51DB6702"/>
    <w:rsid w:val="52BA5C46"/>
    <w:rsid w:val="534F66DC"/>
    <w:rsid w:val="56953F49"/>
    <w:rsid w:val="57777689"/>
    <w:rsid w:val="58D70937"/>
    <w:rsid w:val="5AA93805"/>
    <w:rsid w:val="5C0C6D57"/>
    <w:rsid w:val="5D5017B1"/>
    <w:rsid w:val="5DDB3CB9"/>
    <w:rsid w:val="5DED1E5B"/>
    <w:rsid w:val="5ECB2FA9"/>
    <w:rsid w:val="5FF732A1"/>
    <w:rsid w:val="62B15989"/>
    <w:rsid w:val="63D42F78"/>
    <w:rsid w:val="645D1E8F"/>
    <w:rsid w:val="654E5E7F"/>
    <w:rsid w:val="6C57295E"/>
    <w:rsid w:val="6D991BD3"/>
    <w:rsid w:val="709D0625"/>
    <w:rsid w:val="70B7018D"/>
    <w:rsid w:val="70BF7D6B"/>
    <w:rsid w:val="723E4AF5"/>
    <w:rsid w:val="731E2B7F"/>
    <w:rsid w:val="75586BA7"/>
    <w:rsid w:val="756B0759"/>
    <w:rsid w:val="75B32724"/>
    <w:rsid w:val="75C02C57"/>
    <w:rsid w:val="776149A8"/>
    <w:rsid w:val="7A225AF9"/>
    <w:rsid w:val="7C49527F"/>
    <w:rsid w:val="7DF53A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unhideWhenUsed/>
    <w:qFormat/>
    <w:uiPriority w:val="1"/>
  </w:style>
  <w:style w:type="table" w:default="1" w:styleId="5">
    <w:name w:val="Normal Table"/>
    <w:unhideWhenUsed/>
    <w:uiPriority w:val="99"/>
    <w:tblPr>
      <w:tblCellMar>
        <w:top w:w="0" w:type="dxa"/>
        <w:left w:w="108" w:type="dxa"/>
        <w:bottom w:w="0" w:type="dxa"/>
        <w:right w:w="108" w:type="dxa"/>
      </w:tblCellMar>
    </w:tblPr>
  </w:style>
  <w:style w:type="paragraph" w:styleId="2">
    <w:name w:val="Balloon Text"/>
    <w:basedOn w:val="1"/>
    <w:link w:val="8"/>
    <w:autoRedefine/>
    <w:unhideWhenUsed/>
    <w:qFormat/>
    <w:uiPriority w:val="99"/>
    <w:rPr>
      <w:sz w:val="18"/>
      <w:szCs w:val="18"/>
    </w:rPr>
  </w:style>
  <w:style w:type="paragraph" w:styleId="3">
    <w:name w:val="footer"/>
    <w:basedOn w:val="1"/>
    <w:link w:val="9"/>
    <w:autoRedefine/>
    <w:unhideWhenUsed/>
    <w:qFormat/>
    <w:uiPriority w:val="99"/>
    <w:pPr>
      <w:tabs>
        <w:tab w:val="center" w:pos="4153"/>
        <w:tab w:val="right" w:pos="8306"/>
      </w:tabs>
      <w:snapToGrid w:val="0"/>
      <w:jc w:val="left"/>
    </w:pPr>
    <w:rPr>
      <w:sz w:val="18"/>
      <w:szCs w:val="18"/>
    </w:rPr>
  </w:style>
  <w:style w:type="paragraph" w:styleId="4">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basedOn w:val="7"/>
    <w:link w:val="2"/>
    <w:autoRedefine/>
    <w:semiHidden/>
    <w:qFormat/>
    <w:uiPriority w:val="99"/>
    <w:rPr>
      <w:sz w:val="18"/>
      <w:szCs w:val="18"/>
    </w:rPr>
  </w:style>
  <w:style w:type="character" w:customStyle="1" w:styleId="9">
    <w:name w:val="页脚 Char"/>
    <w:basedOn w:val="7"/>
    <w:link w:val="3"/>
    <w:autoRedefine/>
    <w:qFormat/>
    <w:uiPriority w:val="99"/>
    <w:rPr>
      <w:sz w:val="18"/>
      <w:szCs w:val="18"/>
    </w:rPr>
  </w:style>
  <w:style w:type="character" w:customStyle="1" w:styleId="10">
    <w:name w:val="页眉 Char"/>
    <w:basedOn w:val="7"/>
    <w:link w:val="4"/>
    <w:autoRedefine/>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hart" Target="charts/chart7.xml"/><Relationship Id="rId16" Type="http://schemas.openxmlformats.org/officeDocument/2006/relationships/chart" Target="charts/chart6.xml"/><Relationship Id="rId15" Type="http://schemas.openxmlformats.org/officeDocument/2006/relationships/chart" Target="charts/chart5.xml"/><Relationship Id="rId14" Type="http://schemas.openxmlformats.org/officeDocument/2006/relationships/chart" Target="charts/chart4.xml"/><Relationship Id="rId13" Type="http://schemas.openxmlformats.org/officeDocument/2006/relationships/chart" Target="charts/chart3.xml"/><Relationship Id="rId12" Type="http://schemas.openxmlformats.org/officeDocument/2006/relationships/chart" Target="charts/chart2.xml"/><Relationship Id="rId11" Type="http://schemas.openxmlformats.org/officeDocument/2006/relationships/chart" Target="charts/chart1.xml"/><Relationship Id="rId10" Type="http://schemas.openxmlformats.org/officeDocument/2006/relationships/image" Target="media/image6.jpeg"/><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24037;&#20316;&#31807;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24037;&#20316;&#31807;1"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24037;&#20316;&#31807;1"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24037;&#20316;&#31807;1"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24037;&#20316;&#31807;1"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24037;&#20316;&#31807;1"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lang="en-US" altLang="zh-CN" sz="1600"/>
              <a:t>2024</a:t>
            </a:r>
            <a:r>
              <a:rPr altLang="en-US" sz="1600"/>
              <a:t>年部门收入总表</a:t>
            </a:r>
            <a:endParaRPr lang="en-US" altLang="zh-CN" sz="1600"/>
          </a:p>
        </c:rich>
      </c:tx>
      <c:layout>
        <c:manualLayout>
          <c:xMode val="edge"/>
          <c:yMode val="edge"/>
          <c:x val="0.363476982241828"/>
          <c:y val="0.0232436211114995"/>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Lbls>
            <c:dLbl>
              <c:idx val="3"/>
              <c:layout>
                <c:manualLayout>
                  <c:x val="0.0483675937122128"/>
                  <c:y val="0"/>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[工作簿1]Sheet1!$A$2:$A$5</c:f>
              <c:strCache>
                <c:ptCount val="4"/>
                <c:pt idx="0">
                  <c:v>一般公共预算拨款收入1060.19万元</c:v>
                </c:pt>
                <c:pt idx="1">
                  <c:v>事业收入300万元</c:v>
                </c:pt>
                <c:pt idx="2">
                  <c:v>其他收入5万元</c:v>
                </c:pt>
                <c:pt idx="3">
                  <c:v>上年结转29.24万元</c:v>
                </c:pt>
              </c:strCache>
            </c:strRef>
          </c:cat>
          <c:val>
            <c:numRef>
              <c:f>[工作簿1]Sheet1!$B$2:$B$5</c:f>
              <c:numCache>
                <c:formatCode>General</c:formatCode>
                <c:ptCount val="4"/>
                <c:pt idx="0">
                  <c:v>1060.19</c:v>
                </c:pt>
                <c:pt idx="1">
                  <c:v>300</c:v>
                </c:pt>
                <c:pt idx="2">
                  <c:v>5</c:v>
                </c:pt>
                <c:pt idx="3">
                  <c:v>29.24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3"/>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39520416242507"/>
          <c:y val="0.634218804613771"/>
          <c:w val="0.341250989707047"/>
          <c:h val="0.30740999650471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lang="en-US" altLang="zh-CN" sz="1600"/>
              <a:t>2024</a:t>
            </a:r>
            <a:r>
              <a:rPr altLang="en-US" sz="1600"/>
              <a:t>年部门支出总表</a:t>
            </a:r>
            <a:endParaRPr lang="en-US" altLang="zh-CN" sz="16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[工作簿1]Sheet1!$A$8:$A$9</c:f>
              <c:strCache>
                <c:ptCount val="2"/>
                <c:pt idx="0">
                  <c:v>基本支出1088.23万元</c:v>
                </c:pt>
                <c:pt idx="1">
                  <c:v>项目支出306.20万元</c:v>
                </c:pt>
              </c:strCache>
            </c:strRef>
          </c:cat>
          <c:val>
            <c:numRef>
              <c:f>[工作簿1]Sheet1!$B$8:$B$9</c:f>
              <c:numCache>
                <c:formatCode>General</c:formatCode>
                <c:ptCount val="2"/>
                <c:pt idx="0">
                  <c:v>1088.23</c:v>
                </c:pt>
                <c:pt idx="1">
                  <c:v>306.2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72105263157895"/>
          <c:y val="0.771412037037037"/>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lang="en-US" altLang="zh-CN" sz="1600"/>
              <a:t>2024</a:t>
            </a:r>
            <a:r>
              <a:rPr altLang="en-US" sz="1600"/>
              <a:t>年财政拨款收入总表</a:t>
            </a:r>
            <a:endParaRPr lang="en-US" altLang="zh-CN" sz="1600"/>
          </a:p>
        </c:rich>
      </c:tx>
      <c:layout>
        <c:manualLayout>
          <c:xMode val="edge"/>
          <c:yMode val="edge"/>
          <c:x val="0.336447368421053"/>
          <c:y val="0.0303240740740741"/>
        </c:manualLayout>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[工作簿1]Sheet1!$A$11:$A$12</c:f>
              <c:strCache>
                <c:ptCount val="2"/>
                <c:pt idx="0">
                  <c:v>一般公共预算当年拨款收入1060.19万元</c:v>
                </c:pt>
                <c:pt idx="1">
                  <c:v>上年结转29.24万元</c:v>
                </c:pt>
              </c:strCache>
            </c:strRef>
          </c:cat>
          <c:val>
            <c:numRef>
              <c:f>[工作簿1]Sheet1!$B$11:$B$12</c:f>
              <c:numCache>
                <c:formatCode>General</c:formatCode>
                <c:ptCount val="2"/>
                <c:pt idx="0">
                  <c:v>1060.19</c:v>
                </c:pt>
                <c:pt idx="1">
                  <c:v>29.24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575394736842105"/>
          <c:y val="0.712268518518518"/>
          <c:w val="0.406315789473684"/>
          <c:h val="0.226157407407407"/>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sz="1600"/>
              <a:t>202</a:t>
            </a:r>
            <a:r>
              <a:rPr lang="en-US" altLang="zh-CN" sz="1600"/>
              <a:t>4</a:t>
            </a:r>
            <a:r>
              <a:rPr sz="1600"/>
              <a:t>年财政拨款支出总表</a:t>
            </a:r>
            <a:endParaRPr sz="16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Lbls>
            <c:dLbl>
              <c:idx val="2"/>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8.5</a:t>
                    </a:r>
                    <a:r>
                      <a:rPr lang="en-US" altLang="zh-CN"/>
                      <a:t>1</a:t>
                    </a:r>
                    <a:r>
                      <a:t>%</a:t>
                    </a:r>
                  </a:p>
                </c:rich>
              </c:tx>
              <c:dLblPos val="inEnd"/>
              <c:showLegendKey val="0"/>
              <c:showVal val="0"/>
              <c:showCatName val="0"/>
              <c:showSerName val="0"/>
              <c:showPercent val="1"/>
              <c:showBubbleSize val="0"/>
              <c:extLst>
                <c:ext xmlns:c15="http://schemas.microsoft.com/office/drawing/2012/chart" uri="{CE6537A1-D6FC-4f65-9D91-7224C49458BB}"/>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[工作簿1]Sheet1!$A$14:$A$16</c:f>
              <c:strCache>
                <c:ptCount val="3"/>
                <c:pt idx="0">
                  <c:v>社会保障和就业支出132.05万元</c:v>
                </c:pt>
                <c:pt idx="1">
                  <c:v>卫生健康支出864.73万元</c:v>
                </c:pt>
                <c:pt idx="2">
                  <c:v>住房保障支出92.65万元</c:v>
                </c:pt>
              </c:strCache>
            </c:strRef>
          </c:cat>
          <c:val>
            <c:numRef>
              <c:f>[工作簿1]Sheet1!$B$14:$B$16</c:f>
              <c:numCache>
                <c:formatCode>General</c:formatCode>
                <c:ptCount val="3"/>
                <c:pt idx="0">
                  <c:v>132.05</c:v>
                </c:pt>
                <c:pt idx="1">
                  <c:v>864.73</c:v>
                </c:pt>
                <c:pt idx="2">
                  <c:v>92.65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27763157894737"/>
          <c:y val="0.638425925925926"/>
          <c:w val="0.358684210526316"/>
          <c:h val="0.353472222222222"/>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000"/>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lang="en-US" altLang="zh-CN" sz="1600"/>
              <a:t>2024</a:t>
            </a:r>
            <a:r>
              <a:rPr altLang="en-US" sz="1600"/>
              <a:t>年</a:t>
            </a:r>
            <a:r>
              <a:rPr sz="1600"/>
              <a:t>一般公共预算当年拨款规模明细</a:t>
            </a:r>
            <a:endParaRPr sz="16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Pt>
            <c:idx val="2"/>
            <c:bubble3D val="0"/>
            <c:spPr>
              <a:solidFill>
                <a:schemeClr val="accent3"/>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[工作簿1]Sheet1!$A$18:$A$20</c:f>
              <c:strCache>
                <c:ptCount val="3"/>
                <c:pt idx="0">
                  <c:v>人员经费649.49万元</c:v>
                </c:pt>
                <c:pt idx="1">
                  <c:v>公用经费104.50万元</c:v>
                </c:pt>
                <c:pt idx="2">
                  <c:v>项目经费306.20万元</c:v>
                </c:pt>
              </c:strCache>
            </c:strRef>
          </c:cat>
          <c:val>
            <c:numRef>
              <c:f>[工作簿1]Sheet1!$B$18:$B$20</c:f>
              <c:numCache>
                <c:formatCode>General</c:formatCode>
                <c:ptCount val="3"/>
                <c:pt idx="0">
                  <c:v>649.49</c:v>
                </c:pt>
                <c:pt idx="1">
                  <c:v>104.5</c:v>
                </c:pt>
                <c:pt idx="2">
                  <c:v>306.2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97273362852482"/>
          <c:y val="0.700893785075868"/>
          <c:w val="0.241552085760895"/>
          <c:h val="0.219704843067969"/>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sz="1600"/>
              <a:t>202</a:t>
            </a:r>
            <a:r>
              <a:rPr lang="en-US" altLang="zh-CN" sz="1600"/>
              <a:t>4</a:t>
            </a:r>
            <a:r>
              <a:rPr sz="1600"/>
              <a:t>年一般公共预算当年拨款支出明细</a:t>
            </a:r>
            <a:endParaRPr sz="16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12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[工作簿1]Sheet1!$A$22:$A$24</c:f>
              <c:strCache>
                <c:ptCount val="3"/>
                <c:pt idx="0">
                  <c:v>社会保障和就业支出130.19万元</c:v>
                </c:pt>
                <c:pt idx="1">
                  <c:v>卫生健康支出863.88万元</c:v>
                </c:pt>
                <c:pt idx="2">
                  <c:v>住房保障支出66.12万元</c:v>
                </c:pt>
              </c:strCache>
            </c:strRef>
          </c:cat>
          <c:val>
            <c:numRef>
              <c:f>[工作簿1]Sheet1!$B$22:$B$24</c:f>
              <c:numCache>
                <c:formatCode>General</c:formatCode>
                <c:ptCount val="3"/>
                <c:pt idx="0">
                  <c:v>130.19</c:v>
                </c:pt>
                <c:pt idx="1">
                  <c:v>863.88</c:v>
                </c:pt>
                <c:pt idx="2">
                  <c:v>66.12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1"/>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egendEntry>
        <c:idx val="2"/>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Entry>
      <c:layout>
        <c:manualLayout>
          <c:xMode val="edge"/>
          <c:yMode val="edge"/>
          <c:x val="0.602685050798258"/>
          <c:y val="0.616010006253909"/>
          <c:w val="0.378809869375907"/>
          <c:h val="0.325411715655618"/>
        </c:manualLayout>
      </c:layout>
      <c:overlay val="0"/>
      <c:spPr>
        <a:noFill/>
        <a:ln>
          <a:noFill/>
        </a:ln>
        <a:effectLst/>
      </c:spPr>
      <c:txPr>
        <a:bodyPr rot="0" spcFirstLastPara="0"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sz="1200"/>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600" b="1" i="0" u="none" strike="noStrike" kern="1200" baseline="0">
                <a:solidFill>
                  <a:schemeClr val="tx1">
                    <a:lumMod val="75000"/>
                    <a:lumOff val="25000"/>
                  </a:schemeClr>
                </a:solidFill>
                <a:latin typeface="+mn-lt"/>
                <a:ea typeface="+mn-ea"/>
                <a:cs typeface="+mn-cs"/>
              </a:defRPr>
            </a:pPr>
            <a:r>
              <a:rPr sz="1600"/>
              <a:t>202</a:t>
            </a:r>
            <a:r>
              <a:rPr lang="en-US" altLang="zh-CN" sz="1600"/>
              <a:t>4</a:t>
            </a:r>
            <a:r>
              <a:rPr sz="1600"/>
              <a:t>年一般公共预算当年拨款支出明细</a:t>
            </a:r>
            <a:endParaRPr sz="1600"/>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3"/>
              </a:solidFill>
              <a:ln>
                <a:solidFill>
                  <a:schemeClr val="bg1"/>
                </a:solidFill>
              </a:ln>
              <a:effectLst/>
            </c:spPr>
          </c:dPt>
          <c:dPt>
            <c:idx val="2"/>
            <c:bubble3D val="0"/>
            <c:spPr>
              <a:solidFill>
                <a:schemeClr val="accent5"/>
              </a:solidFill>
              <a:ln>
                <a:solidFill>
                  <a:schemeClr val="bg1"/>
                </a:solidFill>
              </a:ln>
              <a:effectLst/>
            </c:spPr>
          </c:dPt>
          <c:dPt>
            <c:idx val="3"/>
            <c:bubble3D val="0"/>
            <c:spPr>
              <a:solidFill>
                <a:schemeClr val="accent1">
                  <a:lumMod val="60000"/>
                </a:schemeClr>
              </a:solidFill>
              <a:ln>
                <a:solidFill>
                  <a:schemeClr val="bg1"/>
                </a:solidFill>
              </a:ln>
              <a:effectLst/>
            </c:spPr>
          </c:dPt>
          <c:dPt>
            <c:idx val="4"/>
            <c:bubble3D val="0"/>
            <c:spPr>
              <a:solidFill>
                <a:schemeClr val="accent3">
                  <a:lumMod val="60000"/>
                </a:schemeClr>
              </a:solidFill>
              <a:ln>
                <a:solidFill>
                  <a:schemeClr val="bg1"/>
                </a:solidFill>
              </a:ln>
              <a:effectLst/>
            </c:spPr>
          </c:dPt>
          <c:dPt>
            <c:idx val="5"/>
            <c:bubble3D val="0"/>
            <c:spPr>
              <a:solidFill>
                <a:schemeClr val="accent5">
                  <a:lumMod val="60000"/>
                </a:schemeClr>
              </a:solidFill>
              <a:ln>
                <a:solidFill>
                  <a:schemeClr val="bg1"/>
                </a:solidFill>
              </a:ln>
              <a:effectLst/>
            </c:spPr>
          </c:dPt>
          <c:dLbls>
            <c:dLbl>
              <c:idx val="0"/>
              <c:layout>
                <c:manualLayout>
                  <c:x val="0.0153570227552964"/>
                  <c:y val="0.0099319477653117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0932630870978585"/>
                  <c:y val="0.0426705903991172"/>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4"/>
              <c:layout>
                <c:manualLayout>
                  <c:x val="-0.0474162089451856"/>
                  <c:y val="-0.017840720985837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5"/>
              <c:layout>
                <c:manualLayout>
                  <c:x val="0.0107611254343683"/>
                  <c:y val="0.00239102446201948"/>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[工作簿1]Sheet1!$A$26:$A$31</c:f>
              <c:strCache>
                <c:ptCount val="6"/>
                <c:pt idx="0">
                  <c:v>基本养老保险缴费支出82.68万元</c:v>
                </c:pt>
                <c:pt idx="1">
                  <c:v>职业年金缴费支出47.51万元</c:v>
                </c:pt>
                <c:pt idx="2">
                  <c:v>其他中医药事务支出863.88万元</c:v>
                </c:pt>
                <c:pt idx="3">
                  <c:v>住房公积金缴费支出28.32万元</c:v>
                </c:pt>
                <c:pt idx="4">
                  <c:v>提租补贴支出3.56万元</c:v>
                </c:pt>
                <c:pt idx="5">
                  <c:v>购房补贴支出34.24万元</c:v>
                </c:pt>
              </c:strCache>
            </c:strRef>
          </c:cat>
          <c:val>
            <c:numRef>
              <c:f>[工作簿1]Sheet1!$B$26:$B$31</c:f>
              <c:numCache>
                <c:formatCode>General</c:formatCode>
                <c:ptCount val="6"/>
                <c:pt idx="0">
                  <c:v>82.68</c:v>
                </c:pt>
                <c:pt idx="1">
                  <c:v>47.51</c:v>
                </c:pt>
                <c:pt idx="2">
                  <c:v>863.88</c:v>
                </c:pt>
                <c:pt idx="3">
                  <c:v>28.32</c:v>
                </c:pt>
                <c:pt idx="4">
                  <c:v>3.56</c:v>
                </c:pt>
                <c:pt idx="5">
                  <c:v>34.24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28965362627508"/>
          <c:y val="0.60621666360125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3379</Words>
  <Characters>3669</Characters>
  <Lines>26</Lines>
  <Paragraphs>7</Paragraphs>
  <TotalTime>13</TotalTime>
  <ScaleCrop>false</ScaleCrop>
  <LinksUpToDate>false</LinksUpToDate>
  <CharactersWithSpaces>3690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2022-04-27T02:40:00Z</dcterms:created>
  <dc:creator>Acer</dc:creator>
  <cp:lastModifiedBy>雪豹</cp:lastModifiedBy>
  <cp:lastPrinted>2023-04-26T05:01:00Z</cp:lastPrinted>
  <dcterms:modified xsi:type="dcterms:W3CDTF">2024-04-23T08:42:01Z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1527C442B3434066888425BF404474EB_13</vt:lpwstr>
  </property>
</Properties>
</file>